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jc w:val="center"/>
      </w:pPr>
      <w:r>
        <w:rPr>
          <w:rFonts w:ascii="Calibri" w:hAnsi="Calibri"/>
          <w:color w:val="555555"/>
          <w:sz w:val="22"/>
        </w:rPr>
        <w:t>Government of India • Ministry of Road Transport &amp; Highways</w:t>
      </w:r>
    </w:p>
    <w:p/>
    <w:p>
      <w:pPr>
        <w:jc w:val="center"/>
      </w:pPr>
      <w:r>
        <w:rPr>
          <w:rFonts w:ascii="Calibri" w:hAnsi="Calibri"/>
          <w:b/>
          <w:color w:val="1A3C6D"/>
          <w:sz w:val="52"/>
        </w:rPr>
        <w:t>STRUCTURAL HEALTH MONITORING</w:t>
        <w:br/>
        <w:t>OF HIGHWAY BRIDGES</w:t>
      </w:r>
    </w:p>
    <w:p/>
    <w:p>
      <w:pPr>
        <w:jc w:val="center"/>
      </w:pPr>
      <w:r>
        <w:rPr>
          <w:rFonts w:ascii="Calibri" w:hAnsi="Calibri"/>
          <w:b/>
          <w:color w:val="E65100"/>
          <w:sz w:val="32"/>
        </w:rPr>
        <w:t>Technical Specification Document</w:t>
      </w:r>
    </w:p>
    <w:p/>
    <w:p/>
    <w:p/>
    <w:p>
      <w:pPr>
        <w:spacing w:after="40"/>
        <w:ind w:left="2835"/>
        <w:jc w:val="left"/>
      </w:pPr>
      <w:r>
        <w:rPr>
          <w:rFonts w:ascii="Consolas" w:hAnsi="Consolas"/>
          <w:b/>
          <w:sz w:val="20"/>
        </w:rPr>
        <w:t xml:space="preserve">Document No:  </w:t>
      </w:r>
      <w:r>
        <w:rPr>
          <w:rFonts w:ascii="Consolas" w:hAnsi="Consolas"/>
          <w:sz w:val="20"/>
        </w:rPr>
        <w:t>TS-SHM-HB / 2026 / Rev-A</w:t>
      </w:r>
    </w:p>
    <w:p>
      <w:pPr>
        <w:spacing w:after="40"/>
        <w:ind w:left="2835"/>
        <w:jc w:val="left"/>
      </w:pPr>
      <w:r>
        <w:rPr>
          <w:rFonts w:ascii="Consolas" w:hAnsi="Consolas"/>
          <w:b/>
          <w:sz w:val="20"/>
        </w:rPr>
        <w:t xml:space="preserve">Classification:  </w:t>
      </w:r>
      <w:r>
        <w:rPr>
          <w:rFonts w:ascii="Consolas" w:hAnsi="Consolas"/>
          <w:sz w:val="20"/>
        </w:rPr>
        <w:t>Advisory &amp; Technical Specification</w:t>
      </w:r>
    </w:p>
    <w:p>
      <w:pPr>
        <w:spacing w:after="40"/>
        <w:ind w:left="2835"/>
        <w:jc w:val="left"/>
      </w:pPr>
      <w:r>
        <w:rPr>
          <w:rFonts w:ascii="Consolas" w:hAnsi="Consolas"/>
          <w:b/>
          <w:sz w:val="20"/>
        </w:rPr>
        <w:t xml:space="preserve">Scope:  </w:t>
      </w:r>
      <w:r>
        <w:rPr>
          <w:rFonts w:ascii="Consolas" w:hAnsi="Consolas"/>
          <w:sz w:val="20"/>
        </w:rPr>
        <w:t>All National Highways, Expressways &amp; State Highway Bridges in India</w:t>
      </w:r>
    </w:p>
    <w:p>
      <w:pPr>
        <w:spacing w:after="40"/>
        <w:ind w:left="2835"/>
        <w:jc w:val="left"/>
      </w:pPr>
      <w:r>
        <w:rPr>
          <w:rFonts w:ascii="Consolas" w:hAnsi="Consolas"/>
          <w:b/>
          <w:sz w:val="20"/>
        </w:rPr>
        <w:t xml:space="preserve">Prepared By:  </w:t>
      </w:r>
      <w:r>
        <w:rPr>
          <w:rFonts w:ascii="Consolas" w:hAnsi="Consolas"/>
          <w:sz w:val="20"/>
        </w:rPr>
        <w:t>Technical Advisory Division</w:t>
      </w:r>
    </w:p>
    <w:p>
      <w:pPr>
        <w:spacing w:after="40"/>
        <w:ind w:left="2835"/>
        <w:jc w:val="left"/>
      </w:pPr>
      <w:r>
        <w:rPr>
          <w:rFonts w:ascii="Consolas" w:hAnsi="Consolas"/>
          <w:b/>
          <w:sz w:val="20"/>
        </w:rPr>
        <w:t xml:space="preserve">Status:  </w:t>
      </w:r>
      <w:r>
        <w:rPr>
          <w:rFonts w:ascii="Consolas" w:hAnsi="Consolas"/>
          <w:sz w:val="20"/>
        </w:rPr>
        <w:t>Final Draft</w:t>
      </w:r>
    </w:p>
    <w:p/>
    <w:p/>
    <w:p/>
    <w:p/>
    <w:p>
      <w:pPr>
        <w:jc w:val="center"/>
      </w:pPr>
      <w:r>
        <w:rPr>
          <w:color w:val="555555"/>
          <w:sz w:val="20"/>
        </w:rPr>
        <w:t>Version 1.0 — August 2026</w:t>
      </w:r>
    </w:p>
    <w:p>
      <w:r>
        <w:br w:type="page"/>
      </w:r>
    </w:p>
    <w:p>
      <w:pPr>
        <w:pStyle w:val="Heading2"/>
      </w:pPr>
      <w:r>
        <w:rPr>
          <w:rFonts w:ascii="Calibri" w:hAnsi="Calibri"/>
          <w:color w:val="1A3C6D"/>
          <w:sz w:val="36"/>
        </w:rPr>
        <w:t>1. Introduction &amp; Purpose</w:t>
      </w:r>
    </w:p>
    <w:p>
      <w:pPr>
        <w:pStyle w:val="Heading3"/>
      </w:pPr>
      <w:r>
        <w:rPr>
          <w:rFonts w:ascii="Calibri" w:hAnsi="Calibri"/>
          <w:color w:val="2C5F2D"/>
          <w:sz w:val="28"/>
        </w:rPr>
        <w:t>1.1 Background</w:t>
      </w:r>
    </w:p>
    <w:p>
      <w:r>
        <w:rPr>
          <w:rFonts w:ascii="Calibri" w:hAnsi="Calibri"/>
          <w:b w:val="0"/>
          <w:i w:val="0"/>
          <w:sz w:val="22"/>
        </w:rPr>
        <w:t>India possesses one of the largest road networks in the world, spanning over 6.3 million kilometres, with more than 1,70,000 bridges on the National Highway network alone. As infrastructure ages and traffic loads intensify — often exceeding original design assumptions — the structural integrity of these bridges becomes a critical safety and economic concern. Traditional periodic visual inspections, while essential, cannot provide real-time insight into structural behaviour under live loading, during extreme weather events, or as deterioration progresses between inspections.</w:t>
      </w:r>
    </w:p>
    <w:p>
      <w:r>
        <w:rPr>
          <w:rFonts w:ascii="Calibri" w:hAnsi="Calibri"/>
          <w:b w:val="0"/>
          <w:i w:val="0"/>
          <w:sz w:val="22"/>
        </w:rPr>
        <w:t>Structural Health Monitoring (SHM) bridges this gap by deploying permanent or semi-permanent sensor networks that continuously measure key parameters — acceleration, strain, displacement, tilt, temperature, and corrosion activity — enabling data-driven decision-making for maintenance, load rating, and emergency response.</w:t>
      </w:r>
    </w:p>
    <w:p>
      <w:pPr>
        <w:pStyle w:val="Heading3"/>
      </w:pPr>
      <w:r>
        <w:rPr>
          <w:rFonts w:ascii="Calibri" w:hAnsi="Calibri"/>
          <w:color w:val="2C5F2D"/>
          <w:sz w:val="28"/>
        </w:rPr>
        <w:t>1.2 Purpose of This Document</w:t>
      </w:r>
    </w:p>
    <w:p>
      <w:r>
        <w:rPr>
          <w:rFonts w:ascii="Calibri" w:hAnsi="Calibri"/>
          <w:b w:val="0"/>
          <w:i w:val="0"/>
          <w:sz w:val="22"/>
        </w:rPr>
        <w:t>This Technical Specification Document serves five primary objectives:</w:t>
      </w:r>
    </w:p>
    <w:p>
      <w:pPr>
        <w:pStyle w:val="ListNumber"/>
      </w:pPr>
      <w:r>
        <w:t>Establish minimum technical requirements for SHM systems on highway bridges in India, aligning with the Indian Roads Congress (IRC), Ministry of Road Transport &amp; Highways (MORTH), and National Highways Authority of India (NHAI) guidelines.</w:t>
      </w:r>
    </w:p>
    <w:p>
      <w:pPr>
        <w:pStyle w:val="ListNumber"/>
      </w:pPr>
      <w:r>
        <w:t>Provide a standardised procurement framework for instrumentation, data acquisition, analytics, and reporting platforms.</w:t>
      </w:r>
    </w:p>
    <w:p>
      <w:pPr>
        <w:pStyle w:val="ListNumber"/>
      </w:pPr>
      <w:r>
        <w:t>Define acceptance criteria, performance thresholds, and alarm protocols consistent with Indian climatic, seismic, and traffic conditions.</w:t>
      </w:r>
    </w:p>
    <w:p>
      <w:pPr>
        <w:pStyle w:val="ListNumber"/>
      </w:pPr>
      <w:r>
        <w:t>Enable interoperability with the proposed National Bridge Inventory and Asset Management System.</w:t>
      </w:r>
    </w:p>
    <w:p>
      <w:pPr>
        <w:pStyle w:val="ListNumber"/>
      </w:pPr>
      <w:r>
        <w:t>Serve as a reference for Design-Build-Finance-Operate-Transfer (DBFOT) and Engineering-Procurement-Construction (EPC) contract specifications.</w:t>
      </w:r>
    </w:p>
    <w:p>
      <w:pPr>
        <w:pStyle w:val="Heading3"/>
      </w:pPr>
      <w:r>
        <w:rPr>
          <w:rFonts w:ascii="Calibri" w:hAnsi="Calibri"/>
          <w:color w:val="2C5F2D"/>
          <w:sz w:val="28"/>
        </w:rPr>
        <w:t>1.3 Target Audience</w:t>
      </w:r>
    </w:p>
    <w:p>
      <w:pPr>
        <w:pStyle w:val="ListBullet"/>
      </w:pPr>
      <w:r>
        <w:t>NHAI / MORTH project directors and regional officers</w:t>
      </w:r>
    </w:p>
    <w:p>
      <w:pPr>
        <w:pStyle w:val="ListBullet"/>
      </w:pPr>
      <w:r>
        <w:t>State Public Works Departments (PWDs) and road development corporations</w:t>
      </w:r>
    </w:p>
    <w:p>
      <w:pPr>
        <w:pStyle w:val="ListBullet"/>
      </w:pPr>
      <w:r>
        <w:t>Concessionaires and EPC contractors</w:t>
      </w:r>
    </w:p>
    <w:p>
      <w:pPr>
        <w:pStyle w:val="ListBullet"/>
      </w:pPr>
      <w:r>
        <w:t>SHM system integrators and instrumentation vendors</w:t>
      </w:r>
    </w:p>
    <w:p>
      <w:pPr>
        <w:pStyle w:val="ListBullet"/>
      </w:pPr>
      <w:r>
        <w:t>Academic and research institutions engaged in bridge engineering</w:t>
      </w:r>
    </w:p>
    <w:p>
      <w:pPr>
        <w:pStyle w:val="ListBullet"/>
      </w:pPr>
      <w:r>
        <w:t>Independent engineers and proof-checking consultants</w:t>
      </w:r>
    </w:p>
    <w:p>
      <w:r>
        <w:br w:type="page"/>
      </w:r>
    </w:p>
    <w:p>
      <w:pPr>
        <w:pStyle w:val="Heading2"/>
      </w:pPr>
      <w:r>
        <w:rPr>
          <w:rFonts w:ascii="Calibri" w:hAnsi="Calibri"/>
          <w:color w:val="1A3C6D"/>
          <w:sz w:val="36"/>
        </w:rPr>
        <w:t>2. Scope &amp; Applicability</w:t>
      </w:r>
    </w:p>
    <w:p>
      <w:pPr>
        <w:pStyle w:val="Heading3"/>
      </w:pPr>
      <w:r>
        <w:rPr>
          <w:rFonts w:ascii="Calibri" w:hAnsi="Calibri"/>
          <w:color w:val="2C5F2D"/>
          <w:sz w:val="28"/>
        </w:rPr>
        <w:t>2.1 Asset Categories Covered</w:t>
      </w:r>
    </w:p>
    <w:tbl>
      <w:tblPr>
        <w:tblStyle w:val="TableGrid"/>
        <w:tblW w:type="auto" w:w="0"/>
        <w:jc w:val="center"/>
        <w:tblLook w:firstColumn="1" w:firstRow="1" w:lastColumn="0" w:lastRow="0" w:noHBand="0" w:noVBand="1" w:val="04A0"/>
      </w:tblPr>
      <w:tblGrid>
        <w:gridCol w:w="3024"/>
        <w:gridCol w:w="3024"/>
        <w:gridCol w:w="3024"/>
      </w:tblGrid>
      <w:tr>
        <w:tc>
          <w:tcPr>
            <w:tcW w:type="dxa" w:w="2268"/>
            <w:shd w:fill="1A3C6D"/>
          </w:tcPr>
          <w:p>
            <w:pPr>
              <w:jc w:val="left"/>
            </w:pPr>
            <w:r/>
            <w:r>
              <w:rPr>
                <w:rFonts w:ascii="Calibri" w:hAnsi="Calibri"/>
                <w:b/>
                <w:color w:val="FFFFFF"/>
                <w:sz w:val="18"/>
              </w:rPr>
              <w:t>Bridge Type</w:t>
            </w:r>
          </w:p>
        </w:tc>
        <w:tc>
          <w:tcPr>
            <w:tcW w:type="dxa" w:w="3118"/>
            <w:shd w:fill="1A3C6D"/>
          </w:tcPr>
          <w:p>
            <w:pPr>
              <w:jc w:val="left"/>
            </w:pPr>
            <w:r/>
            <w:r>
              <w:rPr>
                <w:rFonts w:ascii="Calibri" w:hAnsi="Calibri"/>
                <w:b/>
                <w:color w:val="FFFFFF"/>
                <w:sz w:val="18"/>
              </w:rPr>
              <w:t>Examples</w:t>
            </w:r>
          </w:p>
        </w:tc>
        <w:tc>
          <w:tcPr>
            <w:tcW w:type="dxa" w:w="3402"/>
            <w:shd w:fill="1A3C6D"/>
          </w:tcPr>
          <w:p>
            <w:pPr>
              <w:jc w:val="left"/>
            </w:pPr>
            <w:r/>
            <w:r>
              <w:rPr>
                <w:rFonts w:ascii="Calibri" w:hAnsi="Calibri"/>
                <w:b/>
                <w:color w:val="FFFFFF"/>
                <w:sz w:val="18"/>
              </w:rPr>
              <w:t>SHM Mandate</w:t>
            </w:r>
          </w:p>
        </w:tc>
      </w:tr>
      <w:tr>
        <w:tc>
          <w:tcPr>
            <w:tcW w:type="dxa" w:w="2268"/>
          </w:tcPr>
          <w:p>
            <w:r/>
            <w:r>
              <w:rPr>
                <w:rFonts w:ascii="Calibri" w:hAnsi="Calibri"/>
                <w:sz w:val="18"/>
              </w:rPr>
              <w:t>Major Bridges</w:t>
            </w:r>
          </w:p>
        </w:tc>
        <w:tc>
          <w:tcPr>
            <w:tcW w:type="dxa" w:w="3118"/>
          </w:tcPr>
          <w:p>
            <w:r/>
            <w:r>
              <w:rPr>
                <w:rFonts w:ascii="Calibri" w:hAnsi="Calibri"/>
                <w:sz w:val="18"/>
              </w:rPr>
              <w:t>Cable-stayed, suspension, extradosed, arch (span ≥ 150 m)</w:t>
            </w:r>
          </w:p>
        </w:tc>
        <w:tc>
          <w:tcPr>
            <w:tcW w:type="dxa" w:w="3402"/>
          </w:tcPr>
          <w:p>
            <w:r/>
            <w:r>
              <w:rPr>
                <w:rFonts w:ascii="Calibri" w:hAnsi="Calibri"/>
                <w:sz w:val="18"/>
              </w:rPr>
              <w:t>Mandatory — Level-3 (full SHM suite)</w:t>
            </w:r>
          </w:p>
        </w:tc>
      </w:tr>
      <w:tr>
        <w:tc>
          <w:tcPr>
            <w:tcW w:type="dxa" w:w="2268"/>
            <w:shd w:fill="F0F3F7"/>
          </w:tcPr>
          <w:p>
            <w:r/>
            <w:r>
              <w:rPr>
                <w:rFonts w:ascii="Calibri" w:hAnsi="Calibri"/>
                <w:sz w:val="18"/>
              </w:rPr>
              <w:t>Long-Span Bridges</w:t>
            </w:r>
          </w:p>
        </w:tc>
        <w:tc>
          <w:tcPr>
            <w:tcW w:type="dxa" w:w="3118"/>
            <w:shd w:fill="F0F3F7"/>
          </w:tcPr>
          <w:p>
            <w:r/>
            <w:r>
              <w:rPr>
                <w:rFonts w:ascii="Calibri" w:hAnsi="Calibri"/>
                <w:sz w:val="18"/>
              </w:rPr>
              <w:t>Continuous box-girder, segmental (span ≥ 100 m)</w:t>
            </w:r>
          </w:p>
        </w:tc>
        <w:tc>
          <w:tcPr>
            <w:tcW w:type="dxa" w:w="3402"/>
            <w:shd w:fill="F0F3F7"/>
          </w:tcPr>
          <w:p>
            <w:r/>
            <w:r>
              <w:rPr>
                <w:rFonts w:ascii="Calibri" w:hAnsi="Calibri"/>
                <w:sz w:val="18"/>
              </w:rPr>
              <w:t>Mandatory — Level-2 (comprehensive SHM)</w:t>
            </w:r>
          </w:p>
        </w:tc>
      </w:tr>
      <w:tr>
        <w:tc>
          <w:tcPr>
            <w:tcW w:type="dxa" w:w="2268"/>
          </w:tcPr>
          <w:p>
            <w:r/>
            <w:r>
              <w:rPr>
                <w:rFonts w:ascii="Calibri" w:hAnsi="Calibri"/>
                <w:sz w:val="18"/>
              </w:rPr>
              <w:t>Important Bridges</w:t>
            </w:r>
          </w:p>
        </w:tc>
        <w:tc>
          <w:tcPr>
            <w:tcW w:type="dxa" w:w="3118"/>
          </w:tcPr>
          <w:p>
            <w:r/>
            <w:r>
              <w:rPr>
                <w:rFonts w:ascii="Calibri" w:hAnsi="Calibri"/>
                <w:sz w:val="18"/>
              </w:rPr>
              <w:t>Bridges on expressways, in seismic zone IV/V, scour-critical, or with ADT &gt; 75,000</w:t>
            </w:r>
          </w:p>
        </w:tc>
        <w:tc>
          <w:tcPr>
            <w:tcW w:type="dxa" w:w="3402"/>
          </w:tcPr>
          <w:p>
            <w:r/>
            <w:r>
              <w:rPr>
                <w:rFonts w:ascii="Calibri" w:hAnsi="Calibri"/>
                <w:sz w:val="18"/>
              </w:rPr>
              <w:t>Mandatory — Level-2</w:t>
            </w:r>
          </w:p>
        </w:tc>
      </w:tr>
      <w:tr>
        <w:tc>
          <w:tcPr>
            <w:tcW w:type="dxa" w:w="2268"/>
            <w:shd w:fill="F0F3F7"/>
          </w:tcPr>
          <w:p>
            <w:r/>
            <w:r>
              <w:rPr>
                <w:rFonts w:ascii="Calibri" w:hAnsi="Calibri"/>
                <w:sz w:val="18"/>
              </w:rPr>
              <w:t>Standard Bridges</w:t>
            </w:r>
          </w:p>
        </w:tc>
        <w:tc>
          <w:tcPr>
            <w:tcW w:type="dxa" w:w="3118"/>
            <w:shd w:fill="F0F3F7"/>
          </w:tcPr>
          <w:p>
            <w:r/>
            <w:r>
              <w:rPr>
                <w:rFonts w:ascii="Calibri" w:hAnsi="Calibri"/>
                <w:sz w:val="18"/>
              </w:rPr>
              <w:t>Simply-supported PSC/RCC, composite steel-concrete (span 30–100 m)</w:t>
            </w:r>
          </w:p>
        </w:tc>
        <w:tc>
          <w:tcPr>
            <w:tcW w:type="dxa" w:w="3402"/>
            <w:shd w:fill="F0F3F7"/>
          </w:tcPr>
          <w:p>
            <w:r/>
            <w:r>
              <w:rPr>
                <w:rFonts w:ascii="Calibri" w:hAnsi="Calibri"/>
                <w:sz w:val="18"/>
              </w:rPr>
              <w:t>Recommended — Level-1 (select parameters)</w:t>
            </w:r>
          </w:p>
        </w:tc>
      </w:tr>
      <w:tr>
        <w:tc>
          <w:tcPr>
            <w:tcW w:type="dxa" w:w="2268"/>
          </w:tcPr>
          <w:p>
            <w:r/>
            <w:r>
              <w:rPr>
                <w:rFonts w:ascii="Calibri" w:hAnsi="Calibri"/>
                <w:sz w:val="18"/>
              </w:rPr>
              <w:t>Minor Bridges &amp; Culverts</w:t>
            </w:r>
          </w:p>
        </w:tc>
        <w:tc>
          <w:tcPr>
            <w:tcW w:type="dxa" w:w="3118"/>
          </w:tcPr>
          <w:p>
            <w:r/>
            <w:r>
              <w:rPr>
                <w:rFonts w:ascii="Calibri" w:hAnsi="Calibri"/>
                <w:sz w:val="18"/>
              </w:rPr>
              <w:t>Span &lt; 30 m, slab/box culverts</w:t>
            </w:r>
          </w:p>
        </w:tc>
        <w:tc>
          <w:tcPr>
            <w:tcW w:type="dxa" w:w="3402"/>
          </w:tcPr>
          <w:p>
            <w:r/>
            <w:r>
              <w:rPr>
                <w:rFonts w:ascii="Calibri" w:hAnsi="Calibri"/>
                <w:sz w:val="18"/>
              </w:rPr>
              <w:t>Optional — based on condition rating</w:t>
            </w:r>
          </w:p>
        </w:tc>
      </w:tr>
      <w:tr>
        <w:tc>
          <w:tcPr>
            <w:tcW w:type="dxa" w:w="2268"/>
            <w:shd w:fill="F0F3F7"/>
          </w:tcPr>
          <w:p>
            <w:r/>
            <w:r>
              <w:rPr>
                <w:rFonts w:ascii="Calibri" w:hAnsi="Calibri"/>
                <w:sz w:val="18"/>
              </w:rPr>
              <w:t>Heritage / Special Bridges</w:t>
            </w:r>
          </w:p>
        </w:tc>
        <w:tc>
          <w:tcPr>
            <w:tcW w:type="dxa" w:w="3118"/>
            <w:shd w:fill="F0F3F7"/>
          </w:tcPr>
          <w:p>
            <w:r/>
            <w:r>
              <w:rPr>
                <w:rFonts w:ascii="Calibri" w:hAnsi="Calibri"/>
                <w:sz w:val="18"/>
              </w:rPr>
              <w:t>Masonry arch, steel truss, movable bridges</w:t>
            </w:r>
          </w:p>
        </w:tc>
        <w:tc>
          <w:tcPr>
            <w:tcW w:type="dxa" w:w="3402"/>
            <w:shd w:fill="F0F3F7"/>
          </w:tcPr>
          <w:p>
            <w:r/>
            <w:r>
              <w:rPr>
                <w:rFonts w:ascii="Calibri" w:hAnsi="Calibri"/>
                <w:sz w:val="18"/>
              </w:rPr>
              <w:t>Case-by-case — as directed by NHAI/MORTH</w:t>
            </w:r>
          </w:p>
        </w:tc>
      </w:tr>
    </w:tbl>
    <w:p/>
    <w:p>
      <w:pPr>
        <w:pStyle w:val="Heading3"/>
      </w:pPr>
      <w:r>
        <w:rPr>
          <w:rFonts w:ascii="Calibri" w:hAnsi="Calibri"/>
          <w:color w:val="2C5F2D"/>
          <w:sz w:val="28"/>
        </w:rPr>
        <w:t>2.2 SHM Levels Defined</w:t>
      </w:r>
    </w:p>
    <w:tbl>
      <w:tblPr>
        <w:tblStyle w:val="TableGrid"/>
        <w:tblW w:type="auto" w:w="0"/>
        <w:jc w:val="center"/>
        <w:tblLook w:firstColumn="1" w:firstRow="1" w:lastColumn="0" w:lastRow="0" w:noHBand="0" w:noVBand="1" w:val="04A0"/>
      </w:tblPr>
      <w:tblGrid>
        <w:gridCol w:w="4536"/>
        <w:gridCol w:w="4536"/>
      </w:tblGrid>
      <w:tr>
        <w:tc>
          <w:tcPr>
            <w:tcW w:type="dxa" w:w="1701"/>
            <w:shd w:fill="1A3C6D"/>
          </w:tcPr>
          <w:p>
            <w:pPr>
              <w:jc w:val="left"/>
            </w:pPr>
            <w:r/>
            <w:r>
              <w:rPr>
                <w:rFonts w:ascii="Calibri" w:hAnsi="Calibri"/>
                <w:b/>
                <w:color w:val="FFFFFF"/>
                <w:sz w:val="18"/>
              </w:rPr>
              <w:t>Level</w:t>
            </w:r>
          </w:p>
        </w:tc>
        <w:tc>
          <w:tcPr>
            <w:tcW w:type="dxa" w:w="7087"/>
            <w:shd w:fill="1A3C6D"/>
          </w:tcPr>
          <w:p>
            <w:pPr>
              <w:jc w:val="left"/>
            </w:pPr>
            <w:r/>
            <w:r>
              <w:rPr>
                <w:rFonts w:ascii="Calibri" w:hAnsi="Calibri"/>
                <w:b/>
                <w:color w:val="FFFFFF"/>
                <w:sz w:val="18"/>
              </w:rPr>
              <w:t>Description</w:t>
            </w:r>
          </w:p>
        </w:tc>
      </w:tr>
      <w:tr>
        <w:tc>
          <w:tcPr>
            <w:tcW w:type="dxa" w:w="1701"/>
          </w:tcPr>
          <w:p>
            <w:r/>
            <w:r>
              <w:rPr>
                <w:rFonts w:ascii="Calibri" w:hAnsi="Calibri"/>
                <w:sz w:val="18"/>
              </w:rPr>
              <w:t>Level-1</w:t>
            </w:r>
          </w:p>
        </w:tc>
        <w:tc>
          <w:tcPr>
            <w:tcW w:type="dxa" w:w="7087"/>
          </w:tcPr>
          <w:p>
            <w:r/>
            <w:r>
              <w:rPr>
                <w:rFonts w:ascii="Calibri" w:hAnsi="Calibri"/>
                <w:sz w:val="18"/>
              </w:rPr>
              <w:t>Essential monitoring: tilt/inclination at bearings, ambient vibration (acceleration) at mid-span, temperature at deck and ambient. Minimum one data logger. Local alarm only.</w:t>
            </w:r>
          </w:p>
        </w:tc>
      </w:tr>
      <w:tr>
        <w:tc>
          <w:tcPr>
            <w:tcW w:type="dxa" w:w="1701"/>
            <w:shd w:fill="F0F3F7"/>
          </w:tcPr>
          <w:p>
            <w:r/>
            <w:r>
              <w:rPr>
                <w:rFonts w:ascii="Calibri" w:hAnsi="Calibri"/>
                <w:sz w:val="18"/>
              </w:rPr>
              <w:t>Level-2</w:t>
            </w:r>
          </w:p>
        </w:tc>
        <w:tc>
          <w:tcPr>
            <w:tcW w:type="dxa" w:w="7087"/>
            <w:shd w:fill="F0F3F7"/>
          </w:tcPr>
          <w:p>
            <w:r/>
            <w:r>
              <w:rPr>
                <w:rFonts w:ascii="Calibri" w:hAnsi="Calibri"/>
                <w:sz w:val="18"/>
              </w:rPr>
              <w:t>Comprehensive monitoring: adds strain at critical sections, displacement at expansion joints, scour at piers, corrosion potential in RC, wind speed/direction. Cloud-connected dashboard with SMS/email alerts.</w:t>
            </w:r>
          </w:p>
        </w:tc>
      </w:tr>
      <w:tr>
        <w:tc>
          <w:tcPr>
            <w:tcW w:type="dxa" w:w="1701"/>
          </w:tcPr>
          <w:p>
            <w:r/>
            <w:r>
              <w:rPr>
                <w:rFonts w:ascii="Calibri" w:hAnsi="Calibri"/>
                <w:sz w:val="18"/>
              </w:rPr>
              <w:t>Level-3</w:t>
            </w:r>
          </w:p>
        </w:tc>
        <w:tc>
          <w:tcPr>
            <w:tcW w:type="dxa" w:w="7087"/>
          </w:tcPr>
          <w:p>
            <w:r/>
            <w:r>
              <w:rPr>
                <w:rFonts w:ascii="Calibri" w:hAnsi="Calibri"/>
                <w:sz w:val="18"/>
              </w:rPr>
              <w:t>Complete SHM suite: all Level-2 parameters plus stay-cable / hanger force monitoring, GNSS-based deck displacement, WIM integration, seismic strong-motion accelerographs, weather station, CCTV. Full digital twin integration.</w:t>
            </w:r>
          </w:p>
        </w:tc>
      </w:tr>
    </w:tbl>
    <w:p/>
    <w:p>
      <w:r>
        <w:br w:type="page"/>
      </w:r>
    </w:p>
    <w:p>
      <w:pPr>
        <w:pStyle w:val="Heading2"/>
      </w:pPr>
      <w:r>
        <w:rPr>
          <w:rFonts w:ascii="Calibri" w:hAnsi="Calibri"/>
          <w:color w:val="1A3C6D"/>
          <w:sz w:val="36"/>
        </w:rPr>
        <w:t>3. Definitions &amp; Terminology</w:t>
      </w:r>
    </w:p>
    <w:tbl>
      <w:tblPr>
        <w:tblStyle w:val="TableGrid"/>
        <w:tblW w:type="auto" w:w="0"/>
        <w:jc w:val="center"/>
        <w:tblLook w:firstColumn="1" w:firstRow="1" w:lastColumn="0" w:lastRow="0" w:noHBand="0" w:noVBand="1" w:val="04A0"/>
      </w:tblPr>
      <w:tblGrid>
        <w:gridCol w:w="4536"/>
        <w:gridCol w:w="4536"/>
      </w:tblGrid>
      <w:tr>
        <w:tc>
          <w:tcPr>
            <w:tcW w:type="dxa" w:w="1701"/>
            <w:shd w:fill="1A3C6D"/>
          </w:tcPr>
          <w:p>
            <w:pPr>
              <w:jc w:val="left"/>
            </w:pPr>
            <w:r/>
            <w:r>
              <w:rPr>
                <w:rFonts w:ascii="Calibri" w:hAnsi="Calibri"/>
                <w:b/>
                <w:color w:val="FFFFFF"/>
                <w:sz w:val="18"/>
              </w:rPr>
              <w:t>Term</w:t>
            </w:r>
          </w:p>
        </w:tc>
        <w:tc>
          <w:tcPr>
            <w:tcW w:type="dxa" w:w="7087"/>
            <w:shd w:fill="1A3C6D"/>
          </w:tcPr>
          <w:p>
            <w:pPr>
              <w:jc w:val="left"/>
            </w:pPr>
            <w:r/>
            <w:r>
              <w:rPr>
                <w:rFonts w:ascii="Calibri" w:hAnsi="Calibri"/>
                <w:b/>
                <w:color w:val="FFFFFF"/>
                <w:sz w:val="18"/>
              </w:rPr>
              <w:t>Definition</w:t>
            </w:r>
          </w:p>
        </w:tc>
      </w:tr>
      <w:tr>
        <w:tc>
          <w:tcPr>
            <w:tcW w:type="dxa" w:w="1701"/>
          </w:tcPr>
          <w:p>
            <w:r/>
            <w:r>
              <w:rPr>
                <w:rFonts w:ascii="Calibri" w:hAnsi="Calibri"/>
                <w:sz w:val="18"/>
              </w:rPr>
              <w:t>SHM</w:t>
            </w:r>
          </w:p>
        </w:tc>
        <w:tc>
          <w:tcPr>
            <w:tcW w:type="dxa" w:w="7087"/>
          </w:tcPr>
          <w:p>
            <w:r/>
            <w:r>
              <w:rPr>
                <w:rFonts w:ascii="Calibri" w:hAnsi="Calibri"/>
                <w:sz w:val="18"/>
              </w:rPr>
              <w:t>Structural Health Monitoring — the process of implementing a damage detection and characterisation strategy for engineering structures using permanently installed sensors.</w:t>
            </w:r>
          </w:p>
        </w:tc>
      </w:tr>
      <w:tr>
        <w:tc>
          <w:tcPr>
            <w:tcW w:type="dxa" w:w="1701"/>
            <w:shd w:fill="F0F3F7"/>
          </w:tcPr>
          <w:p>
            <w:r/>
            <w:r>
              <w:rPr>
                <w:rFonts w:ascii="Calibri" w:hAnsi="Calibri"/>
                <w:sz w:val="18"/>
              </w:rPr>
              <w:t>DAQ</w:t>
            </w:r>
          </w:p>
        </w:tc>
        <w:tc>
          <w:tcPr>
            <w:tcW w:type="dxa" w:w="7087"/>
            <w:shd w:fill="F0F3F7"/>
          </w:tcPr>
          <w:p>
            <w:r/>
            <w:r>
              <w:rPr>
                <w:rFonts w:ascii="Calibri" w:hAnsi="Calibri"/>
                <w:sz w:val="18"/>
              </w:rPr>
              <w:t>Data Acquisition System — the hardware that samples, digitises, and transmits analogue sensor signals.</w:t>
            </w:r>
          </w:p>
        </w:tc>
      </w:tr>
      <w:tr>
        <w:tc>
          <w:tcPr>
            <w:tcW w:type="dxa" w:w="1701"/>
          </w:tcPr>
          <w:p>
            <w:r/>
            <w:r>
              <w:rPr>
                <w:rFonts w:ascii="Calibri" w:hAnsi="Calibri"/>
                <w:sz w:val="18"/>
              </w:rPr>
              <w:t>DT</w:t>
            </w:r>
          </w:p>
        </w:tc>
        <w:tc>
          <w:tcPr>
            <w:tcW w:type="dxa" w:w="7087"/>
          </w:tcPr>
          <w:p>
            <w:r/>
            <w:r>
              <w:rPr>
                <w:rFonts w:ascii="Calibri" w:hAnsi="Calibri"/>
                <w:sz w:val="18"/>
              </w:rPr>
              <w:t>Digital Twin — a virtual representation of the physical bridge that receives real-time sensor data and can be used for simulation and predictive analytics.</w:t>
            </w:r>
          </w:p>
        </w:tc>
      </w:tr>
      <w:tr>
        <w:tc>
          <w:tcPr>
            <w:tcW w:type="dxa" w:w="1701"/>
            <w:shd w:fill="F0F3F7"/>
          </w:tcPr>
          <w:p>
            <w:r/>
            <w:r>
              <w:rPr>
                <w:rFonts w:ascii="Calibri" w:hAnsi="Calibri"/>
                <w:sz w:val="18"/>
              </w:rPr>
              <w:t>NBI</w:t>
            </w:r>
          </w:p>
        </w:tc>
        <w:tc>
          <w:tcPr>
            <w:tcW w:type="dxa" w:w="7087"/>
            <w:shd w:fill="F0F3F7"/>
          </w:tcPr>
          <w:p>
            <w:r/>
            <w:r>
              <w:rPr>
                <w:rFonts w:ascii="Calibri" w:hAnsi="Calibri"/>
                <w:sz w:val="18"/>
              </w:rPr>
              <w:t>National Bridge Inventory — the centralised database of all bridges on the National Highway network, as maintained by NHAI.</w:t>
            </w:r>
          </w:p>
        </w:tc>
      </w:tr>
      <w:tr>
        <w:tc>
          <w:tcPr>
            <w:tcW w:type="dxa" w:w="1701"/>
          </w:tcPr>
          <w:p>
            <w:r/>
            <w:r>
              <w:rPr>
                <w:rFonts w:ascii="Calibri" w:hAnsi="Calibri"/>
                <w:sz w:val="18"/>
              </w:rPr>
              <w:t>BMS</w:t>
            </w:r>
          </w:p>
        </w:tc>
        <w:tc>
          <w:tcPr>
            <w:tcW w:type="dxa" w:w="7087"/>
          </w:tcPr>
          <w:p>
            <w:r/>
            <w:r>
              <w:rPr>
                <w:rFonts w:ascii="Calibri" w:hAnsi="Calibri"/>
                <w:sz w:val="18"/>
              </w:rPr>
              <w:t>Bridge Management System — the software platform used to schedule inspections, track condition ratings, and prioritise maintenance.</w:t>
            </w:r>
          </w:p>
        </w:tc>
      </w:tr>
      <w:tr>
        <w:tc>
          <w:tcPr>
            <w:tcW w:type="dxa" w:w="1701"/>
            <w:shd w:fill="F0F3F7"/>
          </w:tcPr>
          <w:p>
            <w:r/>
            <w:r>
              <w:rPr>
                <w:rFonts w:ascii="Calibri" w:hAnsi="Calibri"/>
                <w:sz w:val="18"/>
              </w:rPr>
              <w:t>OMA</w:t>
            </w:r>
          </w:p>
        </w:tc>
        <w:tc>
          <w:tcPr>
            <w:tcW w:type="dxa" w:w="7087"/>
            <w:shd w:fill="F0F3F7"/>
          </w:tcPr>
          <w:p>
            <w:r/>
            <w:r>
              <w:rPr>
                <w:rFonts w:ascii="Calibri" w:hAnsi="Calibri"/>
                <w:sz w:val="18"/>
              </w:rPr>
              <w:t>Operational Modal Analysis — extraction of modal parameters using ambient (traffic/wind) excitation only.</w:t>
            </w:r>
          </w:p>
        </w:tc>
      </w:tr>
      <w:tr>
        <w:tc>
          <w:tcPr>
            <w:tcW w:type="dxa" w:w="1701"/>
          </w:tcPr>
          <w:p>
            <w:r/>
            <w:r>
              <w:rPr>
                <w:rFonts w:ascii="Calibri" w:hAnsi="Calibri"/>
                <w:sz w:val="18"/>
              </w:rPr>
              <w:t>WIM</w:t>
            </w:r>
          </w:p>
        </w:tc>
        <w:tc>
          <w:tcPr>
            <w:tcW w:type="dxa" w:w="7087"/>
          </w:tcPr>
          <w:p>
            <w:r/>
            <w:r>
              <w:rPr>
                <w:rFonts w:ascii="Calibri" w:hAnsi="Calibri"/>
                <w:sz w:val="18"/>
              </w:rPr>
              <w:t>Weigh-in-Motion — system that measures axle loads of vehicles travelling at highway speeds without stopping.</w:t>
            </w:r>
          </w:p>
        </w:tc>
      </w:tr>
      <w:tr>
        <w:tc>
          <w:tcPr>
            <w:tcW w:type="dxa" w:w="1701"/>
            <w:shd w:fill="F0F3F7"/>
          </w:tcPr>
          <w:p>
            <w:r/>
            <w:r>
              <w:rPr>
                <w:rFonts w:ascii="Calibri" w:hAnsi="Calibri"/>
                <w:sz w:val="18"/>
              </w:rPr>
              <w:t>CBR</w:t>
            </w:r>
          </w:p>
        </w:tc>
        <w:tc>
          <w:tcPr>
            <w:tcW w:type="dxa" w:w="7087"/>
            <w:shd w:fill="F0F3F7"/>
          </w:tcPr>
          <w:p>
            <w:r/>
            <w:r>
              <w:rPr>
                <w:rFonts w:ascii="Calibri" w:hAnsi="Calibri"/>
                <w:sz w:val="18"/>
              </w:rPr>
              <w:t>Condition-Based Rating — bridge condition index derived from SHM data, complementing visual inspection ratings.</w:t>
            </w:r>
          </w:p>
        </w:tc>
      </w:tr>
      <w:tr>
        <w:tc>
          <w:tcPr>
            <w:tcW w:type="dxa" w:w="1701"/>
          </w:tcPr>
          <w:p>
            <w:r/>
            <w:r>
              <w:rPr>
                <w:rFonts w:ascii="Calibri" w:hAnsi="Calibri"/>
                <w:sz w:val="18"/>
              </w:rPr>
              <w:t>MTBF</w:t>
            </w:r>
          </w:p>
        </w:tc>
        <w:tc>
          <w:tcPr>
            <w:tcW w:type="dxa" w:w="7087"/>
          </w:tcPr>
          <w:p>
            <w:r/>
            <w:r>
              <w:rPr>
                <w:rFonts w:ascii="Calibri" w:hAnsi="Calibri"/>
                <w:sz w:val="18"/>
              </w:rPr>
              <w:t>Mean Time Between Failures — reliability metric for SHM components.</w:t>
            </w:r>
          </w:p>
        </w:tc>
      </w:tr>
      <w:tr>
        <w:tc>
          <w:tcPr>
            <w:tcW w:type="dxa" w:w="1701"/>
            <w:shd w:fill="F0F3F7"/>
          </w:tcPr>
          <w:p>
            <w:r/>
            <w:r>
              <w:rPr>
                <w:rFonts w:ascii="Calibri" w:hAnsi="Calibri"/>
                <w:sz w:val="18"/>
              </w:rPr>
              <w:t>FE Model</w:t>
            </w:r>
          </w:p>
        </w:tc>
        <w:tc>
          <w:tcPr>
            <w:tcW w:type="dxa" w:w="7087"/>
            <w:shd w:fill="F0F3F7"/>
          </w:tcPr>
          <w:p>
            <w:r/>
            <w:r>
              <w:rPr>
                <w:rFonts w:ascii="Calibri" w:hAnsi="Calibri"/>
                <w:sz w:val="18"/>
              </w:rPr>
              <w:t>Finite Element Model — a numerical model of the bridge used for structural analysis and model updating.</w:t>
            </w:r>
          </w:p>
        </w:tc>
      </w:tr>
    </w:tbl>
    <w:p/>
    <w:p>
      <w:r>
        <w:br w:type="page"/>
      </w:r>
    </w:p>
    <w:p>
      <w:pPr>
        <w:pStyle w:val="Heading2"/>
      </w:pPr>
      <w:r>
        <w:rPr>
          <w:rFonts w:ascii="Calibri" w:hAnsi="Calibri"/>
          <w:color w:val="1A3C6D"/>
          <w:sz w:val="36"/>
        </w:rPr>
        <w:t>4. Normative References &amp; Governing Standards</w:t>
      </w:r>
    </w:p>
    <w:p>
      <w:pPr>
        <w:pStyle w:val="Heading3"/>
      </w:pPr>
      <w:r>
        <w:rPr>
          <w:rFonts w:ascii="Calibri" w:hAnsi="Calibri"/>
          <w:color w:val="2C5F2D"/>
          <w:sz w:val="28"/>
        </w:rPr>
        <w:t>4.1 Indian Standards (IRC / MORTH / BIS)</w:t>
      </w:r>
    </w:p>
    <w:tbl>
      <w:tblPr>
        <w:tblStyle w:val="TableGrid"/>
        <w:tblW w:type="auto" w:w="0"/>
        <w:jc w:val="center"/>
        <w:tblLook w:firstColumn="1" w:firstRow="1" w:lastColumn="0" w:lastRow="0" w:noHBand="0" w:noVBand="1" w:val="04A0"/>
      </w:tblPr>
      <w:tblGrid>
        <w:gridCol w:w="3024"/>
        <w:gridCol w:w="3024"/>
        <w:gridCol w:w="3024"/>
      </w:tblGrid>
      <w:tr>
        <w:tc>
          <w:tcPr>
            <w:tcW w:type="dxa" w:w="2268"/>
            <w:shd w:fill="1A3C6D"/>
          </w:tcPr>
          <w:p>
            <w:pPr>
              <w:jc w:val="left"/>
            </w:pPr>
            <w:r/>
            <w:r>
              <w:rPr>
                <w:rFonts w:ascii="Calibri" w:hAnsi="Calibri"/>
                <w:b/>
                <w:color w:val="FFFFFF"/>
                <w:sz w:val="18"/>
              </w:rPr>
              <w:t>Standard</w:t>
            </w:r>
          </w:p>
        </w:tc>
        <w:tc>
          <w:tcPr>
            <w:tcW w:type="dxa" w:w="2835"/>
            <w:shd w:fill="1A3C6D"/>
          </w:tcPr>
          <w:p>
            <w:pPr>
              <w:jc w:val="left"/>
            </w:pPr>
            <w:r/>
            <w:r>
              <w:rPr>
                <w:rFonts w:ascii="Calibri" w:hAnsi="Calibri"/>
                <w:b/>
                <w:color w:val="FFFFFF"/>
                <w:sz w:val="18"/>
              </w:rPr>
              <w:t>Title</w:t>
            </w:r>
          </w:p>
        </w:tc>
        <w:tc>
          <w:tcPr>
            <w:tcW w:type="dxa" w:w="3685"/>
            <w:shd w:fill="1A3C6D"/>
          </w:tcPr>
          <w:p>
            <w:pPr>
              <w:jc w:val="left"/>
            </w:pPr>
            <w:r/>
            <w:r>
              <w:rPr>
                <w:rFonts w:ascii="Calibri" w:hAnsi="Calibri"/>
                <w:b/>
                <w:color w:val="FFFFFF"/>
                <w:sz w:val="18"/>
              </w:rPr>
              <w:t>Relevance</w:t>
            </w:r>
          </w:p>
        </w:tc>
      </w:tr>
      <w:tr>
        <w:tc>
          <w:tcPr>
            <w:tcW w:type="dxa" w:w="2268"/>
          </w:tcPr>
          <w:p>
            <w:r/>
            <w:r>
              <w:rPr>
                <w:rFonts w:ascii="Calibri" w:hAnsi="Calibri"/>
                <w:sz w:val="18"/>
              </w:rPr>
              <w:t>IRC:SP:35-2015</w:t>
            </w:r>
          </w:p>
        </w:tc>
        <w:tc>
          <w:tcPr>
            <w:tcW w:type="dxa" w:w="2835"/>
          </w:tcPr>
          <w:p>
            <w:r/>
            <w:r>
              <w:rPr>
                <w:rFonts w:ascii="Calibri" w:hAnsi="Calibri"/>
                <w:sz w:val="18"/>
              </w:rPr>
              <w:t>Guidelines for Inspection and Maintenance of Bridges</w:t>
            </w:r>
          </w:p>
        </w:tc>
        <w:tc>
          <w:tcPr>
            <w:tcW w:type="dxa" w:w="3685"/>
          </w:tcPr>
          <w:p>
            <w:r/>
            <w:r>
              <w:rPr>
                <w:rFonts w:ascii="Calibri" w:hAnsi="Calibri"/>
                <w:sz w:val="18"/>
              </w:rPr>
              <w:t>Establishes condition rating methodology; SHM data must integrate with inspection cycles.</w:t>
            </w:r>
          </w:p>
        </w:tc>
      </w:tr>
      <w:tr>
        <w:tc>
          <w:tcPr>
            <w:tcW w:type="dxa" w:w="2268"/>
            <w:shd w:fill="F0F3F7"/>
          </w:tcPr>
          <w:p>
            <w:r/>
            <w:r>
              <w:rPr>
                <w:rFonts w:ascii="Calibri" w:hAnsi="Calibri"/>
                <w:sz w:val="18"/>
              </w:rPr>
              <w:t>IRC:SP:54-2014</w:t>
            </w:r>
          </w:p>
        </w:tc>
        <w:tc>
          <w:tcPr>
            <w:tcW w:type="dxa" w:w="2835"/>
            <w:shd w:fill="F0F3F7"/>
          </w:tcPr>
          <w:p>
            <w:r/>
            <w:r>
              <w:rPr>
                <w:rFonts w:ascii="Calibri" w:hAnsi="Calibri"/>
                <w:sz w:val="18"/>
              </w:rPr>
              <w:t>Project Preparation Manual for Bridges</w:t>
            </w:r>
          </w:p>
        </w:tc>
        <w:tc>
          <w:tcPr>
            <w:tcW w:type="dxa" w:w="3685"/>
            <w:shd w:fill="F0F3F7"/>
          </w:tcPr>
          <w:p>
            <w:r/>
            <w:r>
              <w:rPr>
                <w:rFonts w:ascii="Calibri" w:hAnsi="Calibri"/>
                <w:sz w:val="18"/>
              </w:rPr>
              <w:t>Mandates SHM in the planning phase for major and special bridges.</w:t>
            </w:r>
          </w:p>
        </w:tc>
      </w:tr>
      <w:tr>
        <w:tc>
          <w:tcPr>
            <w:tcW w:type="dxa" w:w="2268"/>
          </w:tcPr>
          <w:p>
            <w:r/>
            <w:r>
              <w:rPr>
                <w:rFonts w:ascii="Calibri" w:hAnsi="Calibri"/>
                <w:sz w:val="18"/>
              </w:rPr>
              <w:t>IRC:SP:77-2008</w:t>
            </w:r>
          </w:p>
        </w:tc>
        <w:tc>
          <w:tcPr>
            <w:tcW w:type="dxa" w:w="2835"/>
          </w:tcPr>
          <w:p>
            <w:r/>
            <w:r>
              <w:rPr>
                <w:rFonts w:ascii="Calibri" w:hAnsi="Calibri"/>
                <w:sz w:val="18"/>
              </w:rPr>
              <w:t>Guidelines for Design of Highway Bridges</w:t>
            </w:r>
          </w:p>
        </w:tc>
        <w:tc>
          <w:tcPr>
            <w:tcW w:type="dxa" w:w="3685"/>
          </w:tcPr>
          <w:p>
            <w:r/>
            <w:r>
              <w:rPr>
                <w:rFonts w:ascii="Calibri" w:hAnsi="Calibri"/>
                <w:sz w:val="18"/>
              </w:rPr>
              <w:t>Design parameters and load assumptions used as baseline for SHM threshold setting.</w:t>
            </w:r>
          </w:p>
        </w:tc>
      </w:tr>
      <w:tr>
        <w:tc>
          <w:tcPr>
            <w:tcW w:type="dxa" w:w="2268"/>
            <w:shd w:fill="F0F3F7"/>
          </w:tcPr>
          <w:p>
            <w:r/>
            <w:r>
              <w:rPr>
                <w:rFonts w:ascii="Calibri" w:hAnsi="Calibri"/>
                <w:sz w:val="18"/>
              </w:rPr>
              <w:t>IRC:112-2019</w:t>
            </w:r>
          </w:p>
        </w:tc>
        <w:tc>
          <w:tcPr>
            <w:tcW w:type="dxa" w:w="2835"/>
            <w:shd w:fill="F0F3F7"/>
          </w:tcPr>
          <w:p>
            <w:r/>
            <w:r>
              <w:rPr>
                <w:rFonts w:ascii="Calibri" w:hAnsi="Calibri"/>
                <w:sz w:val="18"/>
              </w:rPr>
              <w:t>Code of Practice for Concrete Road Bridges</w:t>
            </w:r>
          </w:p>
        </w:tc>
        <w:tc>
          <w:tcPr>
            <w:tcW w:type="dxa" w:w="3685"/>
            <w:shd w:fill="F0F3F7"/>
          </w:tcPr>
          <w:p>
            <w:r/>
            <w:r>
              <w:rPr>
                <w:rFonts w:ascii="Calibri" w:hAnsi="Calibri"/>
                <w:sz w:val="18"/>
              </w:rPr>
              <w:t>Material properties, durability requirements, and crack-width limits used for alarm thresholds.</w:t>
            </w:r>
          </w:p>
        </w:tc>
      </w:tr>
      <w:tr>
        <w:tc>
          <w:tcPr>
            <w:tcW w:type="dxa" w:w="2268"/>
          </w:tcPr>
          <w:p>
            <w:r/>
            <w:r>
              <w:rPr>
                <w:rFonts w:ascii="Calibri" w:hAnsi="Calibri"/>
                <w:sz w:val="18"/>
              </w:rPr>
              <w:t>IRC:6-2017</w:t>
            </w:r>
          </w:p>
        </w:tc>
        <w:tc>
          <w:tcPr>
            <w:tcW w:type="dxa" w:w="2835"/>
          </w:tcPr>
          <w:p>
            <w:r/>
            <w:r>
              <w:rPr>
                <w:rFonts w:ascii="Calibri" w:hAnsi="Calibri"/>
                <w:sz w:val="18"/>
              </w:rPr>
              <w:t>Loads &amp; Load Combinations</w:t>
            </w:r>
          </w:p>
        </w:tc>
        <w:tc>
          <w:tcPr>
            <w:tcW w:type="dxa" w:w="3685"/>
          </w:tcPr>
          <w:p>
            <w:r/>
            <w:r>
              <w:rPr>
                <w:rFonts w:ascii="Calibri" w:hAnsi="Calibri"/>
                <w:sz w:val="18"/>
              </w:rPr>
              <w:t>Class 70R, Class A, and special vehicle loads; overload detection thresholds.</w:t>
            </w:r>
          </w:p>
        </w:tc>
      </w:tr>
      <w:tr>
        <w:tc>
          <w:tcPr>
            <w:tcW w:type="dxa" w:w="2268"/>
            <w:shd w:fill="F0F3F7"/>
          </w:tcPr>
          <w:p>
            <w:r/>
            <w:r>
              <w:rPr>
                <w:rFonts w:ascii="Calibri" w:hAnsi="Calibri"/>
                <w:sz w:val="18"/>
              </w:rPr>
              <w:t>IRC:22-2015</w:t>
            </w:r>
          </w:p>
        </w:tc>
        <w:tc>
          <w:tcPr>
            <w:tcW w:type="dxa" w:w="2835"/>
            <w:shd w:fill="F0F3F7"/>
          </w:tcPr>
          <w:p>
            <w:r/>
            <w:r>
              <w:rPr>
                <w:rFonts w:ascii="Calibri" w:hAnsi="Calibri"/>
                <w:sz w:val="18"/>
              </w:rPr>
              <w:t>Composite Construction (Section VI)</w:t>
            </w:r>
          </w:p>
        </w:tc>
        <w:tc>
          <w:tcPr>
            <w:tcW w:type="dxa" w:w="3685"/>
            <w:shd w:fill="F0F3F7"/>
          </w:tcPr>
          <w:p>
            <w:r/>
            <w:r>
              <w:rPr>
                <w:rFonts w:ascii="Calibri" w:hAnsi="Calibri"/>
                <w:sz w:val="18"/>
              </w:rPr>
              <w:t>Relevant for composite steel-concrete bridge monitoring.</w:t>
            </w:r>
          </w:p>
        </w:tc>
      </w:tr>
      <w:tr>
        <w:tc>
          <w:tcPr>
            <w:tcW w:type="dxa" w:w="2268"/>
          </w:tcPr>
          <w:p>
            <w:r/>
            <w:r>
              <w:rPr>
                <w:rFonts w:ascii="Calibri" w:hAnsi="Calibri"/>
                <w:sz w:val="18"/>
              </w:rPr>
              <w:t>IRC:78-2014</w:t>
            </w:r>
          </w:p>
        </w:tc>
        <w:tc>
          <w:tcPr>
            <w:tcW w:type="dxa" w:w="2835"/>
          </w:tcPr>
          <w:p>
            <w:r/>
            <w:r>
              <w:rPr>
                <w:rFonts w:ascii="Calibri" w:hAnsi="Calibri"/>
                <w:sz w:val="18"/>
              </w:rPr>
              <w:t>Foundations &amp; Substructure</w:t>
            </w:r>
          </w:p>
        </w:tc>
        <w:tc>
          <w:tcPr>
            <w:tcW w:type="dxa" w:w="3685"/>
          </w:tcPr>
          <w:p>
            <w:r/>
            <w:r>
              <w:rPr>
                <w:rFonts w:ascii="Calibri" w:hAnsi="Calibri"/>
                <w:sz w:val="18"/>
              </w:rPr>
              <w:t>Scour monitoring and foundation tilt thresholds.</w:t>
            </w:r>
          </w:p>
        </w:tc>
      </w:tr>
      <w:tr>
        <w:tc>
          <w:tcPr>
            <w:tcW w:type="dxa" w:w="2268"/>
            <w:shd w:fill="F0F3F7"/>
          </w:tcPr>
          <w:p>
            <w:r/>
            <w:r>
              <w:rPr>
                <w:rFonts w:ascii="Calibri" w:hAnsi="Calibri"/>
                <w:sz w:val="18"/>
              </w:rPr>
              <w:t>MORTH Spec. (5th Rev, 2013)</w:t>
            </w:r>
          </w:p>
        </w:tc>
        <w:tc>
          <w:tcPr>
            <w:tcW w:type="dxa" w:w="2835"/>
            <w:shd w:fill="F0F3F7"/>
          </w:tcPr>
          <w:p>
            <w:r/>
            <w:r>
              <w:rPr>
                <w:rFonts w:ascii="Calibri" w:hAnsi="Calibri"/>
                <w:sz w:val="18"/>
              </w:rPr>
              <w:t>Specifications for Road &amp; Bridge Works</w:t>
            </w:r>
          </w:p>
        </w:tc>
        <w:tc>
          <w:tcPr>
            <w:tcW w:type="dxa" w:w="3685"/>
            <w:shd w:fill="F0F3F7"/>
          </w:tcPr>
          <w:p>
            <w:r/>
            <w:r>
              <w:rPr>
                <w:rFonts w:ascii="Calibri" w:hAnsi="Calibri"/>
                <w:sz w:val="18"/>
              </w:rPr>
              <w:t>Section 1000–2900: Material, workmanship, and testing requirements applicable to sensor installation.</w:t>
            </w:r>
          </w:p>
        </w:tc>
      </w:tr>
      <w:tr>
        <w:tc>
          <w:tcPr>
            <w:tcW w:type="dxa" w:w="2268"/>
          </w:tcPr>
          <w:p>
            <w:r/>
            <w:r>
              <w:rPr>
                <w:rFonts w:ascii="Calibri" w:hAnsi="Calibri"/>
                <w:sz w:val="18"/>
              </w:rPr>
              <w:t>IS 456:2000</w:t>
            </w:r>
          </w:p>
        </w:tc>
        <w:tc>
          <w:tcPr>
            <w:tcW w:type="dxa" w:w="2835"/>
          </w:tcPr>
          <w:p>
            <w:r/>
            <w:r>
              <w:rPr>
                <w:rFonts w:ascii="Calibri" w:hAnsi="Calibri"/>
                <w:sz w:val="18"/>
              </w:rPr>
              <w:t>Plain &amp; Reinforced Concrete — Code of Practice</w:t>
            </w:r>
          </w:p>
        </w:tc>
        <w:tc>
          <w:tcPr>
            <w:tcW w:type="dxa" w:w="3685"/>
          </w:tcPr>
          <w:p>
            <w:r/>
            <w:r>
              <w:rPr>
                <w:rFonts w:ascii="Calibri" w:hAnsi="Calibri"/>
                <w:sz w:val="18"/>
              </w:rPr>
              <w:t>Deflection limits; durability provisions.</w:t>
            </w:r>
          </w:p>
        </w:tc>
      </w:tr>
      <w:tr>
        <w:tc>
          <w:tcPr>
            <w:tcW w:type="dxa" w:w="2268"/>
            <w:shd w:fill="F0F3F7"/>
          </w:tcPr>
          <w:p>
            <w:r/>
            <w:r>
              <w:rPr>
                <w:rFonts w:ascii="Calibri" w:hAnsi="Calibri"/>
                <w:sz w:val="18"/>
              </w:rPr>
              <w:t>IS 800:2007</w:t>
            </w:r>
          </w:p>
        </w:tc>
        <w:tc>
          <w:tcPr>
            <w:tcW w:type="dxa" w:w="2835"/>
            <w:shd w:fill="F0F3F7"/>
          </w:tcPr>
          <w:p>
            <w:r/>
            <w:r>
              <w:rPr>
                <w:rFonts w:ascii="Calibri" w:hAnsi="Calibri"/>
                <w:sz w:val="18"/>
              </w:rPr>
              <w:t>Steel Structures — Code of Practice</w:t>
            </w:r>
          </w:p>
        </w:tc>
        <w:tc>
          <w:tcPr>
            <w:tcW w:type="dxa" w:w="3685"/>
            <w:shd w:fill="F0F3F7"/>
          </w:tcPr>
          <w:p>
            <w:r/>
            <w:r>
              <w:rPr>
                <w:rFonts w:ascii="Calibri" w:hAnsi="Calibri"/>
                <w:sz w:val="18"/>
              </w:rPr>
              <w:t>Steel stress limits and fatigue provisions.</w:t>
            </w:r>
          </w:p>
        </w:tc>
      </w:tr>
      <w:tr>
        <w:tc>
          <w:tcPr>
            <w:tcW w:type="dxa" w:w="2268"/>
          </w:tcPr>
          <w:p>
            <w:r/>
            <w:r>
              <w:rPr>
                <w:rFonts w:ascii="Calibri" w:hAnsi="Calibri"/>
                <w:sz w:val="18"/>
              </w:rPr>
              <w:t>IS 1893 (Part 1):2016</w:t>
            </w:r>
          </w:p>
        </w:tc>
        <w:tc>
          <w:tcPr>
            <w:tcW w:type="dxa" w:w="2835"/>
          </w:tcPr>
          <w:p>
            <w:r/>
            <w:r>
              <w:rPr>
                <w:rFonts w:ascii="Calibri" w:hAnsi="Calibri"/>
                <w:sz w:val="18"/>
              </w:rPr>
              <w:t>Earthquake-Resistant Design</w:t>
            </w:r>
          </w:p>
        </w:tc>
        <w:tc>
          <w:tcPr>
            <w:tcW w:type="dxa" w:w="3685"/>
          </w:tcPr>
          <w:p>
            <w:r/>
            <w:r>
              <w:rPr>
                <w:rFonts w:ascii="Calibri" w:hAnsi="Calibri"/>
                <w:sz w:val="18"/>
              </w:rPr>
              <w:t>Seismic zone factors; strong-motion trigger thresholds.</w:t>
            </w:r>
          </w:p>
        </w:tc>
      </w:tr>
      <w:tr>
        <w:tc>
          <w:tcPr>
            <w:tcW w:type="dxa" w:w="2268"/>
            <w:shd w:fill="F0F3F7"/>
          </w:tcPr>
          <w:p>
            <w:r/>
            <w:r>
              <w:rPr>
                <w:rFonts w:ascii="Calibri" w:hAnsi="Calibri"/>
                <w:sz w:val="18"/>
              </w:rPr>
              <w:t>IRC:SP:114-2018</w:t>
            </w:r>
          </w:p>
        </w:tc>
        <w:tc>
          <w:tcPr>
            <w:tcW w:type="dxa" w:w="2835"/>
            <w:shd w:fill="F0F3F7"/>
          </w:tcPr>
          <w:p>
            <w:r/>
            <w:r>
              <w:rPr>
                <w:rFonts w:ascii="Calibri" w:hAnsi="Calibri"/>
                <w:sz w:val="18"/>
              </w:rPr>
              <w:t>Guidelines for Seismic Design of Road Bridges</w:t>
            </w:r>
          </w:p>
        </w:tc>
        <w:tc>
          <w:tcPr>
            <w:tcW w:type="dxa" w:w="3685"/>
            <w:shd w:fill="F0F3F7"/>
          </w:tcPr>
          <w:p>
            <w:r/>
            <w:r>
              <w:rPr>
                <w:rFonts w:ascii="Calibri" w:hAnsi="Calibri"/>
                <w:sz w:val="18"/>
              </w:rPr>
              <w:t>Performance objectives for post-earthquake SHM assessment.</w:t>
            </w:r>
          </w:p>
        </w:tc>
      </w:tr>
      <w:tr>
        <w:tc>
          <w:tcPr>
            <w:tcW w:type="dxa" w:w="2268"/>
          </w:tcPr>
          <w:p>
            <w:r/>
            <w:r>
              <w:rPr>
                <w:rFonts w:ascii="Calibri" w:hAnsi="Calibri"/>
                <w:sz w:val="18"/>
              </w:rPr>
              <w:t>NHAI Circular 11.3/2018</w:t>
            </w:r>
          </w:p>
        </w:tc>
        <w:tc>
          <w:tcPr>
            <w:tcW w:type="dxa" w:w="2835"/>
          </w:tcPr>
          <w:p>
            <w:r/>
            <w:r>
              <w:rPr>
                <w:rFonts w:ascii="Calibri" w:hAnsi="Calibri"/>
                <w:sz w:val="18"/>
              </w:rPr>
              <w:t>Bridge Health Monitoring System on Major Bridges</w:t>
            </w:r>
          </w:p>
        </w:tc>
        <w:tc>
          <w:tcPr>
            <w:tcW w:type="dxa" w:w="3685"/>
          </w:tcPr>
          <w:p>
            <w:r/>
            <w:r>
              <w:rPr>
                <w:rFonts w:ascii="Calibri" w:hAnsi="Calibri"/>
                <w:sz w:val="18"/>
              </w:rPr>
              <w:t>Directive mandating SHM on all major bridges on National Highways.</w:t>
            </w:r>
          </w:p>
        </w:tc>
      </w:tr>
    </w:tbl>
    <w:p/>
    <w:p>
      <w:pPr>
        <w:pStyle w:val="Heading3"/>
      </w:pPr>
      <w:r>
        <w:rPr>
          <w:rFonts w:ascii="Calibri" w:hAnsi="Calibri"/>
          <w:color w:val="2C5F2D"/>
          <w:sz w:val="28"/>
        </w:rPr>
        <w:t>4.2 International Standards</w:t>
      </w:r>
    </w:p>
    <w:tbl>
      <w:tblPr>
        <w:tblStyle w:val="TableGrid"/>
        <w:tblW w:type="auto" w:w="0"/>
        <w:jc w:val="center"/>
        <w:tblLook w:firstColumn="1" w:firstRow="1" w:lastColumn="0" w:lastRow="0" w:noHBand="0" w:noVBand="1" w:val="04A0"/>
      </w:tblPr>
      <w:tblGrid>
        <w:gridCol w:w="4536"/>
        <w:gridCol w:w="4536"/>
      </w:tblGrid>
      <w:tr>
        <w:tc>
          <w:tcPr>
            <w:tcW w:type="dxa" w:w="3118"/>
            <w:shd w:fill="1A3C6D"/>
          </w:tcPr>
          <w:p>
            <w:pPr>
              <w:jc w:val="left"/>
            </w:pPr>
            <w:r/>
            <w:r>
              <w:rPr>
                <w:rFonts w:ascii="Calibri" w:hAnsi="Calibri"/>
                <w:b/>
                <w:color w:val="FFFFFF"/>
                <w:sz w:val="18"/>
              </w:rPr>
              <w:t>Standard</w:t>
            </w:r>
          </w:p>
        </w:tc>
        <w:tc>
          <w:tcPr>
            <w:tcW w:type="dxa" w:w="5669"/>
            <w:shd w:fill="1A3C6D"/>
          </w:tcPr>
          <w:p>
            <w:pPr>
              <w:jc w:val="left"/>
            </w:pPr>
            <w:r/>
            <w:r>
              <w:rPr>
                <w:rFonts w:ascii="Calibri" w:hAnsi="Calibri"/>
                <w:b/>
                <w:color w:val="FFFFFF"/>
                <w:sz w:val="18"/>
              </w:rPr>
              <w:t>Title</w:t>
            </w:r>
          </w:p>
        </w:tc>
      </w:tr>
      <w:tr>
        <w:tc>
          <w:tcPr>
            <w:tcW w:type="dxa" w:w="3118"/>
          </w:tcPr>
          <w:p>
            <w:r/>
            <w:r>
              <w:rPr>
                <w:rFonts w:ascii="Calibri" w:hAnsi="Calibri"/>
                <w:sz w:val="18"/>
              </w:rPr>
              <w:t>ISO 14963:2003</w:t>
            </w:r>
          </w:p>
        </w:tc>
        <w:tc>
          <w:tcPr>
            <w:tcW w:type="dxa" w:w="5669"/>
          </w:tcPr>
          <w:p>
            <w:r/>
            <w:r>
              <w:rPr>
                <w:rFonts w:ascii="Calibri" w:hAnsi="Calibri"/>
                <w:sz w:val="18"/>
              </w:rPr>
              <w:t>Mechanical vibration and shock — Guidelines for dynamic tests and investigations on bridges and viaducts</w:t>
            </w:r>
          </w:p>
        </w:tc>
      </w:tr>
      <w:tr>
        <w:tc>
          <w:tcPr>
            <w:tcW w:type="dxa" w:w="3118"/>
            <w:shd w:fill="F0F3F7"/>
          </w:tcPr>
          <w:p>
            <w:r/>
            <w:r>
              <w:rPr>
                <w:rFonts w:ascii="Calibri" w:hAnsi="Calibri"/>
                <w:sz w:val="18"/>
              </w:rPr>
              <w:t>ISO 4866:2010</w:t>
            </w:r>
          </w:p>
        </w:tc>
        <w:tc>
          <w:tcPr>
            <w:tcW w:type="dxa" w:w="5669"/>
            <w:shd w:fill="F0F3F7"/>
          </w:tcPr>
          <w:p>
            <w:r/>
            <w:r>
              <w:rPr>
                <w:rFonts w:ascii="Calibri" w:hAnsi="Calibri"/>
                <w:sz w:val="18"/>
              </w:rPr>
              <w:t>Mechanical vibration and shock — Vibration of fixed structures</w:t>
            </w:r>
          </w:p>
        </w:tc>
      </w:tr>
      <w:tr>
        <w:tc>
          <w:tcPr>
            <w:tcW w:type="dxa" w:w="3118"/>
          </w:tcPr>
          <w:p>
            <w:r/>
            <w:r>
              <w:rPr>
                <w:rFonts w:ascii="Calibri" w:hAnsi="Calibri"/>
                <w:sz w:val="18"/>
              </w:rPr>
              <w:t>ISO 16587:2004</w:t>
            </w:r>
          </w:p>
        </w:tc>
        <w:tc>
          <w:tcPr>
            <w:tcW w:type="dxa" w:w="5669"/>
          </w:tcPr>
          <w:p>
            <w:r/>
            <w:r>
              <w:rPr>
                <w:rFonts w:ascii="Calibri" w:hAnsi="Calibri"/>
                <w:sz w:val="18"/>
              </w:rPr>
              <w:t>Mechanical vibration and shock — Performance parameters for SHM of structures</w:t>
            </w:r>
          </w:p>
        </w:tc>
      </w:tr>
      <w:tr>
        <w:tc>
          <w:tcPr>
            <w:tcW w:type="dxa" w:w="3118"/>
            <w:shd w:fill="F0F3F7"/>
          </w:tcPr>
          <w:p>
            <w:r/>
            <w:r>
              <w:rPr>
                <w:rFonts w:ascii="Calibri" w:hAnsi="Calibri"/>
                <w:sz w:val="18"/>
              </w:rPr>
              <w:t>SAMCO F08b (2006)</w:t>
            </w:r>
          </w:p>
        </w:tc>
        <w:tc>
          <w:tcPr>
            <w:tcW w:type="dxa" w:w="5669"/>
            <w:shd w:fill="F0F3F7"/>
          </w:tcPr>
          <w:p>
            <w:r/>
            <w:r>
              <w:rPr>
                <w:rFonts w:ascii="Calibri" w:hAnsi="Calibri"/>
                <w:sz w:val="18"/>
              </w:rPr>
              <w:t>Guidelines for Structural Health Monitoring — F08a (Glossary), F08b (Design), F08c (Implementation)</w:t>
            </w:r>
          </w:p>
        </w:tc>
      </w:tr>
      <w:tr>
        <w:tc>
          <w:tcPr>
            <w:tcW w:type="dxa" w:w="3118"/>
          </w:tcPr>
          <w:p>
            <w:r/>
            <w:r>
              <w:rPr>
                <w:rFonts w:ascii="Calibri" w:hAnsi="Calibri"/>
                <w:sz w:val="18"/>
              </w:rPr>
              <w:t>FHWA-HIF-19-035</w:t>
            </w:r>
          </w:p>
        </w:tc>
        <w:tc>
          <w:tcPr>
            <w:tcW w:type="dxa" w:w="5669"/>
          </w:tcPr>
          <w:p>
            <w:r/>
            <w:r>
              <w:rPr>
                <w:rFonts w:ascii="Calibri" w:hAnsi="Calibri"/>
                <w:sz w:val="18"/>
              </w:rPr>
              <w:t>Guidelines for Bridge Management Systems (AASHTO)</w:t>
            </w:r>
          </w:p>
        </w:tc>
      </w:tr>
      <w:tr>
        <w:tc>
          <w:tcPr>
            <w:tcW w:type="dxa" w:w="3118"/>
            <w:shd w:fill="F0F3F7"/>
          </w:tcPr>
          <w:p>
            <w:r/>
            <w:r>
              <w:rPr>
                <w:rFonts w:ascii="Calibri" w:hAnsi="Calibri"/>
                <w:sz w:val="18"/>
              </w:rPr>
              <w:t>BS ISO 18649:2004</w:t>
            </w:r>
          </w:p>
        </w:tc>
        <w:tc>
          <w:tcPr>
            <w:tcW w:type="dxa" w:w="5669"/>
            <w:shd w:fill="F0F3F7"/>
          </w:tcPr>
          <w:p>
            <w:r/>
            <w:r>
              <w:rPr>
                <w:rFonts w:ascii="Calibri" w:hAnsi="Calibri"/>
                <w:sz w:val="18"/>
              </w:rPr>
              <w:t>Mechanical vibration — Evaluation of measurement results from dynamic tests on structures</w:t>
            </w:r>
          </w:p>
        </w:tc>
      </w:tr>
      <w:tr>
        <w:tc>
          <w:tcPr>
            <w:tcW w:type="dxa" w:w="3118"/>
          </w:tcPr>
          <w:p>
            <w:r/>
            <w:r>
              <w:rPr>
                <w:rFonts w:ascii="Calibri" w:hAnsi="Calibri"/>
                <w:sz w:val="18"/>
              </w:rPr>
              <w:t>EN 1990:2002 (Eurocode 0)</w:t>
            </w:r>
          </w:p>
        </w:tc>
        <w:tc>
          <w:tcPr>
            <w:tcW w:type="dxa" w:w="5669"/>
          </w:tcPr>
          <w:p>
            <w:r/>
            <w:r>
              <w:rPr>
                <w:rFonts w:ascii="Calibri" w:hAnsi="Calibri"/>
                <w:sz w:val="18"/>
              </w:rPr>
              <w:t>Basis of structural design — reliability differentiation</w:t>
            </w:r>
          </w:p>
        </w:tc>
      </w:tr>
      <w:tr>
        <w:tc>
          <w:tcPr>
            <w:tcW w:type="dxa" w:w="3118"/>
            <w:shd w:fill="F0F3F7"/>
          </w:tcPr>
          <w:p>
            <w:r/>
            <w:r>
              <w:rPr>
                <w:rFonts w:ascii="Calibri" w:hAnsi="Calibri"/>
                <w:sz w:val="18"/>
              </w:rPr>
              <w:t>IEC 60751</w:t>
            </w:r>
          </w:p>
        </w:tc>
        <w:tc>
          <w:tcPr>
            <w:tcW w:type="dxa" w:w="5669"/>
            <w:shd w:fill="F0F3F7"/>
          </w:tcPr>
          <w:p>
            <w:r/>
            <w:r>
              <w:rPr>
                <w:rFonts w:ascii="Calibri" w:hAnsi="Calibri"/>
                <w:sz w:val="18"/>
              </w:rPr>
              <w:t>Industrial platinum resistance thermometers</w:t>
            </w:r>
          </w:p>
        </w:tc>
      </w:tr>
      <w:tr>
        <w:tc>
          <w:tcPr>
            <w:tcW w:type="dxa" w:w="3118"/>
          </w:tcPr>
          <w:p>
            <w:r/>
            <w:r>
              <w:rPr>
                <w:rFonts w:ascii="Calibri" w:hAnsi="Calibri"/>
                <w:sz w:val="18"/>
              </w:rPr>
              <w:t>IEEE 1451</w:t>
            </w:r>
          </w:p>
        </w:tc>
        <w:tc>
          <w:tcPr>
            <w:tcW w:type="dxa" w:w="5669"/>
          </w:tcPr>
          <w:p>
            <w:r/>
            <w:r>
              <w:rPr>
                <w:rFonts w:ascii="Calibri" w:hAnsi="Calibri"/>
                <w:sz w:val="18"/>
              </w:rPr>
              <w:t>Smart transducer interface standards</w:t>
            </w:r>
          </w:p>
        </w:tc>
      </w:tr>
    </w:tbl>
    <w:p/>
    <w:p>
      <w:r>
        <w:br w:type="page"/>
      </w:r>
    </w:p>
    <w:p>
      <w:pPr>
        <w:pStyle w:val="Heading2"/>
      </w:pPr>
      <w:r>
        <w:rPr>
          <w:rFonts w:ascii="Calibri" w:hAnsi="Calibri"/>
          <w:color w:val="1A3C6D"/>
          <w:sz w:val="36"/>
        </w:rPr>
        <w:t>5. SHM System Classification &amp; Selection Criteria</w:t>
      </w:r>
    </w:p>
    <w:p>
      <w:pPr>
        <w:pStyle w:val="Heading3"/>
      </w:pPr>
      <w:r>
        <w:rPr>
          <w:rFonts w:ascii="Calibri" w:hAnsi="Calibri"/>
          <w:color w:val="2C5F2D"/>
          <w:sz w:val="28"/>
        </w:rPr>
        <w:t>5.1 Risk-Based Classification Matrix</w:t>
      </w:r>
    </w:p>
    <w:p>
      <w:r>
        <w:rPr>
          <w:rFonts w:ascii="Calibri" w:hAnsi="Calibri"/>
          <w:b w:val="0"/>
          <w:i w:val="0"/>
          <w:sz w:val="22"/>
        </w:rPr>
        <w:t>The required SHM level shall be determined by a weighted risk score (R):</w:t>
      </w:r>
    </w:p>
    <w:p>
      <w:pPr>
        <w:jc w:val="center"/>
      </w:pPr>
      <w:r>
        <w:rPr>
          <w:rFonts w:ascii="Calibri" w:hAnsi="Calibri"/>
          <w:b/>
          <w:sz w:val="26"/>
        </w:rPr>
        <w:t>R = S × C × V × D × Re</w:t>
      </w:r>
    </w:p>
    <w:tbl>
      <w:tblPr>
        <w:tblStyle w:val="TableGrid"/>
        <w:tblW w:type="auto" w:w="0"/>
        <w:jc w:val="center"/>
        <w:tblLook w:firstColumn="1" w:firstRow="1" w:lastColumn="0" w:lastRow="0" w:noHBand="0" w:noVBand="1" w:val="04A0"/>
      </w:tblPr>
      <w:tblGrid>
        <w:gridCol w:w="1296"/>
        <w:gridCol w:w="1296"/>
        <w:gridCol w:w="1296"/>
        <w:gridCol w:w="1296"/>
        <w:gridCol w:w="1296"/>
        <w:gridCol w:w="1296"/>
        <w:gridCol w:w="1296"/>
      </w:tblGrid>
      <w:tr>
        <w:tc>
          <w:tcPr>
            <w:tcW w:type="dxa" w:w="1701"/>
            <w:shd w:fill="1A3C6D"/>
          </w:tcPr>
          <w:p>
            <w:pPr>
              <w:jc w:val="left"/>
            </w:pPr>
            <w:r/>
            <w:r>
              <w:rPr>
                <w:rFonts w:ascii="Calibri" w:hAnsi="Calibri"/>
                <w:b/>
                <w:color w:val="FFFFFF"/>
                <w:sz w:val="18"/>
              </w:rPr>
              <w:t>Factor</w:t>
            </w:r>
          </w:p>
        </w:tc>
        <w:tc>
          <w:tcPr>
            <w:tcW w:type="dxa" w:w="850"/>
            <w:shd w:fill="1A3C6D"/>
          </w:tcPr>
          <w:p>
            <w:pPr>
              <w:jc w:val="left"/>
            </w:pPr>
            <w:r/>
            <w:r>
              <w:rPr>
                <w:rFonts w:ascii="Calibri" w:hAnsi="Calibri"/>
                <w:b/>
                <w:color w:val="FFFFFF"/>
                <w:sz w:val="18"/>
              </w:rPr>
              <w:t>Weight</w:t>
            </w:r>
          </w:p>
        </w:tc>
        <w:tc>
          <w:tcPr>
            <w:tcW w:type="dxa" w:w="1020"/>
            <w:shd w:fill="1A3C6D"/>
          </w:tcPr>
          <w:p>
            <w:pPr>
              <w:jc w:val="left"/>
            </w:pPr>
            <w:r/>
            <w:r>
              <w:rPr>
                <w:rFonts w:ascii="Calibri" w:hAnsi="Calibri"/>
                <w:b/>
                <w:color w:val="FFFFFF"/>
                <w:sz w:val="18"/>
              </w:rPr>
              <w:t>1</w:t>
            </w:r>
          </w:p>
        </w:tc>
        <w:tc>
          <w:tcPr>
            <w:tcW w:type="dxa" w:w="1020"/>
            <w:shd w:fill="1A3C6D"/>
          </w:tcPr>
          <w:p>
            <w:pPr>
              <w:jc w:val="left"/>
            </w:pPr>
            <w:r/>
            <w:r>
              <w:rPr>
                <w:rFonts w:ascii="Calibri" w:hAnsi="Calibri"/>
                <w:b/>
                <w:color w:val="FFFFFF"/>
                <w:sz w:val="18"/>
              </w:rPr>
              <w:t>2</w:t>
            </w:r>
          </w:p>
        </w:tc>
        <w:tc>
          <w:tcPr>
            <w:tcW w:type="dxa" w:w="1134"/>
            <w:shd w:fill="1A3C6D"/>
          </w:tcPr>
          <w:p>
            <w:pPr>
              <w:jc w:val="left"/>
            </w:pPr>
            <w:r/>
            <w:r>
              <w:rPr>
                <w:rFonts w:ascii="Calibri" w:hAnsi="Calibri"/>
                <w:b/>
                <w:color w:val="FFFFFF"/>
                <w:sz w:val="18"/>
              </w:rPr>
              <w:t>3</w:t>
            </w:r>
          </w:p>
        </w:tc>
        <w:tc>
          <w:tcPr>
            <w:tcW w:type="dxa" w:w="1247"/>
            <w:shd w:fill="1A3C6D"/>
          </w:tcPr>
          <w:p>
            <w:pPr>
              <w:jc w:val="left"/>
            </w:pPr>
            <w:r/>
            <w:r>
              <w:rPr>
                <w:rFonts w:ascii="Calibri" w:hAnsi="Calibri"/>
                <w:b/>
                <w:color w:val="FFFFFF"/>
                <w:sz w:val="18"/>
              </w:rPr>
              <w:t>4</w:t>
            </w:r>
          </w:p>
        </w:tc>
        <w:tc>
          <w:tcPr>
            <w:tcW w:type="dxa" w:w="1587"/>
            <w:shd w:fill="1A3C6D"/>
          </w:tcPr>
          <w:p>
            <w:pPr>
              <w:jc w:val="left"/>
            </w:pPr>
            <w:r/>
            <w:r>
              <w:rPr>
                <w:rFonts w:ascii="Calibri" w:hAnsi="Calibri"/>
                <w:b/>
                <w:color w:val="FFFFFF"/>
                <w:sz w:val="18"/>
              </w:rPr>
              <w:t>5</w:t>
            </w:r>
          </w:p>
        </w:tc>
      </w:tr>
      <w:tr>
        <w:tc>
          <w:tcPr>
            <w:tcW w:type="dxa" w:w="1701"/>
          </w:tcPr>
          <w:p>
            <w:r/>
            <w:r>
              <w:rPr>
                <w:rFonts w:ascii="Calibri" w:hAnsi="Calibri"/>
                <w:sz w:val="18"/>
              </w:rPr>
              <w:t>S — Span (m)</w:t>
            </w:r>
          </w:p>
        </w:tc>
        <w:tc>
          <w:tcPr>
            <w:tcW w:type="dxa" w:w="850"/>
          </w:tcPr>
          <w:p>
            <w:r/>
            <w:r>
              <w:rPr>
                <w:rFonts w:ascii="Calibri" w:hAnsi="Calibri"/>
                <w:sz w:val="18"/>
              </w:rPr>
              <w:t>1.0</w:t>
            </w:r>
          </w:p>
        </w:tc>
        <w:tc>
          <w:tcPr>
            <w:tcW w:type="dxa" w:w="1020"/>
          </w:tcPr>
          <w:p>
            <w:r/>
            <w:r>
              <w:rPr>
                <w:rFonts w:ascii="Calibri" w:hAnsi="Calibri"/>
                <w:sz w:val="18"/>
              </w:rPr>
              <w:t>&lt; 30</w:t>
            </w:r>
          </w:p>
        </w:tc>
        <w:tc>
          <w:tcPr>
            <w:tcW w:type="dxa" w:w="1020"/>
          </w:tcPr>
          <w:p>
            <w:r/>
            <w:r>
              <w:rPr>
                <w:rFonts w:ascii="Calibri" w:hAnsi="Calibri"/>
                <w:sz w:val="18"/>
              </w:rPr>
              <w:t>30–60</w:t>
            </w:r>
          </w:p>
        </w:tc>
        <w:tc>
          <w:tcPr>
            <w:tcW w:type="dxa" w:w="1134"/>
          </w:tcPr>
          <w:p>
            <w:r/>
            <w:r>
              <w:rPr>
                <w:rFonts w:ascii="Calibri" w:hAnsi="Calibri"/>
                <w:sz w:val="18"/>
              </w:rPr>
              <w:t>60–100</w:t>
            </w:r>
          </w:p>
        </w:tc>
        <w:tc>
          <w:tcPr>
            <w:tcW w:type="dxa" w:w="1247"/>
          </w:tcPr>
          <w:p>
            <w:r/>
            <w:r>
              <w:rPr>
                <w:rFonts w:ascii="Calibri" w:hAnsi="Calibri"/>
                <w:sz w:val="18"/>
              </w:rPr>
              <w:t>100–150</w:t>
            </w:r>
          </w:p>
        </w:tc>
        <w:tc>
          <w:tcPr>
            <w:tcW w:type="dxa" w:w="1587"/>
          </w:tcPr>
          <w:p>
            <w:r/>
            <w:r>
              <w:rPr>
                <w:rFonts w:ascii="Calibri" w:hAnsi="Calibri"/>
                <w:sz w:val="18"/>
              </w:rPr>
              <w:t>≥ 150</w:t>
            </w:r>
          </w:p>
        </w:tc>
      </w:tr>
      <w:tr>
        <w:tc>
          <w:tcPr>
            <w:tcW w:type="dxa" w:w="1701"/>
            <w:shd w:fill="F0F3F7"/>
          </w:tcPr>
          <w:p>
            <w:r/>
            <w:r>
              <w:rPr>
                <w:rFonts w:ascii="Calibri" w:hAnsi="Calibri"/>
                <w:sz w:val="18"/>
              </w:rPr>
              <w:t>C — Consequence</w:t>
            </w:r>
          </w:p>
        </w:tc>
        <w:tc>
          <w:tcPr>
            <w:tcW w:type="dxa" w:w="850"/>
            <w:shd w:fill="F0F3F7"/>
          </w:tcPr>
          <w:p>
            <w:r/>
            <w:r>
              <w:rPr>
                <w:rFonts w:ascii="Calibri" w:hAnsi="Calibri"/>
                <w:sz w:val="18"/>
              </w:rPr>
              <w:t>1.5</w:t>
            </w:r>
          </w:p>
        </w:tc>
        <w:tc>
          <w:tcPr>
            <w:tcW w:type="dxa" w:w="1020"/>
            <w:shd w:fill="F0F3F7"/>
          </w:tcPr>
          <w:p>
            <w:r/>
            <w:r>
              <w:rPr>
                <w:rFonts w:ascii="Calibri" w:hAnsi="Calibri"/>
                <w:sz w:val="18"/>
              </w:rPr>
              <w:t>Local road</w:t>
            </w:r>
          </w:p>
        </w:tc>
        <w:tc>
          <w:tcPr>
            <w:tcW w:type="dxa" w:w="1020"/>
            <w:shd w:fill="F0F3F7"/>
          </w:tcPr>
          <w:p>
            <w:r/>
            <w:r>
              <w:rPr>
                <w:rFonts w:ascii="Calibri" w:hAnsi="Calibri"/>
                <w:sz w:val="18"/>
              </w:rPr>
              <w:t>SH/MDR</w:t>
            </w:r>
          </w:p>
        </w:tc>
        <w:tc>
          <w:tcPr>
            <w:tcW w:type="dxa" w:w="1134"/>
            <w:shd w:fill="F0F3F7"/>
          </w:tcPr>
          <w:p>
            <w:r/>
            <w:r>
              <w:rPr>
                <w:rFonts w:ascii="Calibri" w:hAnsi="Calibri"/>
                <w:sz w:val="18"/>
              </w:rPr>
              <w:t>NH (low traffic)</w:t>
            </w:r>
          </w:p>
        </w:tc>
        <w:tc>
          <w:tcPr>
            <w:tcW w:type="dxa" w:w="1247"/>
            <w:shd w:fill="F0F3F7"/>
          </w:tcPr>
          <w:p>
            <w:r/>
            <w:r>
              <w:rPr>
                <w:rFonts w:ascii="Calibri" w:hAnsi="Calibri"/>
                <w:sz w:val="18"/>
              </w:rPr>
              <w:t>Expressway / NH</w:t>
            </w:r>
          </w:p>
        </w:tc>
        <w:tc>
          <w:tcPr>
            <w:tcW w:type="dxa" w:w="1587"/>
            <w:shd w:fill="F0F3F7"/>
          </w:tcPr>
          <w:p>
            <w:r/>
            <w:r>
              <w:rPr>
                <w:rFonts w:ascii="Calibri" w:hAnsi="Calibri"/>
                <w:sz w:val="18"/>
              </w:rPr>
              <w:t>Strategic / Defence</w:t>
            </w:r>
          </w:p>
        </w:tc>
      </w:tr>
      <w:tr>
        <w:tc>
          <w:tcPr>
            <w:tcW w:type="dxa" w:w="1701"/>
          </w:tcPr>
          <w:p>
            <w:r/>
            <w:r>
              <w:rPr>
                <w:rFonts w:ascii="Calibri" w:hAnsi="Calibri"/>
                <w:sz w:val="18"/>
              </w:rPr>
              <w:t>V — Vulnerability</w:t>
            </w:r>
          </w:p>
        </w:tc>
        <w:tc>
          <w:tcPr>
            <w:tcW w:type="dxa" w:w="850"/>
          </w:tcPr>
          <w:p>
            <w:r/>
            <w:r>
              <w:rPr>
                <w:rFonts w:ascii="Calibri" w:hAnsi="Calibri"/>
                <w:sz w:val="18"/>
              </w:rPr>
              <w:t>1.2</w:t>
            </w:r>
          </w:p>
        </w:tc>
        <w:tc>
          <w:tcPr>
            <w:tcW w:type="dxa" w:w="1020"/>
          </w:tcPr>
          <w:p>
            <w:r/>
            <w:r>
              <w:rPr>
                <w:rFonts w:ascii="Calibri" w:hAnsi="Calibri"/>
                <w:sz w:val="18"/>
              </w:rPr>
              <w:t>New (&lt;5 yr)</w:t>
            </w:r>
          </w:p>
        </w:tc>
        <w:tc>
          <w:tcPr>
            <w:tcW w:type="dxa" w:w="1020"/>
          </w:tcPr>
          <w:p>
            <w:r/>
            <w:r>
              <w:rPr>
                <w:rFonts w:ascii="Calibri" w:hAnsi="Calibri"/>
                <w:sz w:val="18"/>
              </w:rPr>
              <w:t>Good condition</w:t>
            </w:r>
          </w:p>
        </w:tc>
        <w:tc>
          <w:tcPr>
            <w:tcW w:type="dxa" w:w="1134"/>
          </w:tcPr>
          <w:p>
            <w:r/>
            <w:r>
              <w:rPr>
                <w:rFonts w:ascii="Calibri" w:hAnsi="Calibri"/>
                <w:sz w:val="18"/>
              </w:rPr>
              <w:t>Fair</w:t>
            </w:r>
          </w:p>
        </w:tc>
        <w:tc>
          <w:tcPr>
            <w:tcW w:type="dxa" w:w="1247"/>
          </w:tcPr>
          <w:p>
            <w:r/>
            <w:r>
              <w:rPr>
                <w:rFonts w:ascii="Calibri" w:hAnsi="Calibri"/>
                <w:sz w:val="18"/>
              </w:rPr>
              <w:t>Poor / ageing</w:t>
            </w:r>
          </w:p>
        </w:tc>
        <w:tc>
          <w:tcPr>
            <w:tcW w:type="dxa" w:w="1587"/>
          </w:tcPr>
          <w:p>
            <w:r/>
            <w:r>
              <w:rPr>
                <w:rFonts w:ascii="Calibri" w:hAnsi="Calibri"/>
                <w:sz w:val="18"/>
              </w:rPr>
              <w:t>Critical / distressed</w:t>
            </w:r>
          </w:p>
        </w:tc>
      </w:tr>
      <w:tr>
        <w:tc>
          <w:tcPr>
            <w:tcW w:type="dxa" w:w="1701"/>
            <w:shd w:fill="F0F3F7"/>
          </w:tcPr>
          <w:p>
            <w:r/>
            <w:r>
              <w:rPr>
                <w:rFonts w:ascii="Calibri" w:hAnsi="Calibri"/>
                <w:sz w:val="18"/>
              </w:rPr>
              <w:t>D — Design Complexity</w:t>
            </w:r>
          </w:p>
        </w:tc>
        <w:tc>
          <w:tcPr>
            <w:tcW w:type="dxa" w:w="850"/>
            <w:shd w:fill="F0F3F7"/>
          </w:tcPr>
          <w:p>
            <w:r/>
            <w:r>
              <w:rPr>
                <w:rFonts w:ascii="Calibri" w:hAnsi="Calibri"/>
                <w:sz w:val="18"/>
              </w:rPr>
              <w:t>1.0</w:t>
            </w:r>
          </w:p>
        </w:tc>
        <w:tc>
          <w:tcPr>
            <w:tcW w:type="dxa" w:w="1020"/>
            <w:shd w:fill="F0F3F7"/>
          </w:tcPr>
          <w:p>
            <w:r/>
            <w:r>
              <w:rPr>
                <w:rFonts w:ascii="Calibri" w:hAnsi="Calibri"/>
                <w:sz w:val="18"/>
              </w:rPr>
              <w:t>Simple span</w:t>
            </w:r>
          </w:p>
        </w:tc>
        <w:tc>
          <w:tcPr>
            <w:tcW w:type="dxa" w:w="1020"/>
            <w:shd w:fill="F0F3F7"/>
          </w:tcPr>
          <w:p>
            <w:r/>
            <w:r>
              <w:rPr>
                <w:rFonts w:ascii="Calibri" w:hAnsi="Calibri"/>
                <w:sz w:val="18"/>
              </w:rPr>
              <w:t>Continuous</w:t>
            </w:r>
          </w:p>
        </w:tc>
        <w:tc>
          <w:tcPr>
            <w:tcW w:type="dxa" w:w="1134"/>
            <w:shd w:fill="F0F3F7"/>
          </w:tcPr>
          <w:p>
            <w:r/>
            <w:r>
              <w:rPr>
                <w:rFonts w:ascii="Calibri" w:hAnsi="Calibri"/>
                <w:sz w:val="18"/>
              </w:rPr>
              <w:t>Balanced cantilever</w:t>
            </w:r>
          </w:p>
        </w:tc>
        <w:tc>
          <w:tcPr>
            <w:tcW w:type="dxa" w:w="1247"/>
            <w:shd w:fill="F0F3F7"/>
          </w:tcPr>
          <w:p>
            <w:r/>
            <w:r>
              <w:rPr>
                <w:rFonts w:ascii="Calibri" w:hAnsi="Calibri"/>
                <w:sz w:val="18"/>
              </w:rPr>
              <w:t>Arch / extradosed</w:t>
            </w:r>
          </w:p>
        </w:tc>
        <w:tc>
          <w:tcPr>
            <w:tcW w:type="dxa" w:w="1587"/>
            <w:shd w:fill="F0F3F7"/>
          </w:tcPr>
          <w:p>
            <w:r/>
            <w:r>
              <w:rPr>
                <w:rFonts w:ascii="Calibri" w:hAnsi="Calibri"/>
                <w:sz w:val="18"/>
              </w:rPr>
              <w:t>Cable-stayed / suspension</w:t>
            </w:r>
          </w:p>
        </w:tc>
      </w:tr>
      <w:tr>
        <w:tc>
          <w:tcPr>
            <w:tcW w:type="dxa" w:w="1701"/>
          </w:tcPr>
          <w:p>
            <w:r/>
            <w:r>
              <w:rPr>
                <w:rFonts w:ascii="Calibri" w:hAnsi="Calibri"/>
                <w:sz w:val="18"/>
              </w:rPr>
              <w:t>Re — Redundancy</w:t>
            </w:r>
          </w:p>
        </w:tc>
        <w:tc>
          <w:tcPr>
            <w:tcW w:type="dxa" w:w="850"/>
          </w:tcPr>
          <w:p>
            <w:r/>
            <w:r>
              <w:rPr>
                <w:rFonts w:ascii="Calibri" w:hAnsi="Calibri"/>
                <w:sz w:val="18"/>
              </w:rPr>
              <w:t>1.3</w:t>
            </w:r>
          </w:p>
        </w:tc>
        <w:tc>
          <w:tcPr>
            <w:tcW w:type="dxa" w:w="1020"/>
          </w:tcPr>
          <w:p>
            <w:r/>
            <w:r>
              <w:rPr>
                <w:rFonts w:ascii="Calibri" w:hAnsi="Calibri"/>
                <w:sz w:val="18"/>
              </w:rPr>
              <w:t>Highly redundant</w:t>
            </w:r>
          </w:p>
        </w:tc>
        <w:tc>
          <w:tcPr>
            <w:tcW w:type="dxa" w:w="1020"/>
          </w:tcPr>
          <w:p>
            <w:r/>
            <w:r>
              <w:rPr>
                <w:rFonts w:ascii="Calibri" w:hAnsi="Calibri"/>
                <w:sz w:val="18"/>
              </w:rPr>
              <w:t>Multiple girders</w:t>
            </w:r>
          </w:p>
        </w:tc>
        <w:tc>
          <w:tcPr>
            <w:tcW w:type="dxa" w:w="1134"/>
          </w:tcPr>
          <w:p>
            <w:r/>
            <w:r>
              <w:rPr>
                <w:rFonts w:ascii="Calibri" w:hAnsi="Calibri"/>
                <w:sz w:val="18"/>
              </w:rPr>
              <w:t>Twin box</w:t>
            </w:r>
          </w:p>
        </w:tc>
        <w:tc>
          <w:tcPr>
            <w:tcW w:type="dxa" w:w="1247"/>
          </w:tcPr>
          <w:p>
            <w:r/>
            <w:r>
              <w:rPr>
                <w:rFonts w:ascii="Calibri" w:hAnsi="Calibri"/>
                <w:sz w:val="18"/>
              </w:rPr>
              <w:t>Single box</w:t>
            </w:r>
          </w:p>
        </w:tc>
        <w:tc>
          <w:tcPr>
            <w:tcW w:type="dxa" w:w="1587"/>
          </w:tcPr>
          <w:p>
            <w:r/>
            <w:r>
              <w:rPr>
                <w:rFonts w:ascii="Calibri" w:hAnsi="Calibri"/>
                <w:sz w:val="18"/>
              </w:rPr>
              <w:t>Fracture-critical</w:t>
            </w:r>
          </w:p>
        </w:tc>
      </w:tr>
    </w:tbl>
    <w:p/>
    <w:p>
      <w:pPr>
        <w:spacing w:before="160" w:after="160"/>
        <w:ind w:left="283"/>
      </w:pPr>
      <w:r>
        <w:rPr>
          <w:rFonts w:ascii="Calibri" w:hAnsi="Calibri"/>
          <w:b/>
          <w:color w:val="E65100"/>
          <w:sz w:val="20"/>
        </w:rPr>
        <w:t xml:space="preserve">Thresholds: </w:t>
      </w:r>
      <w:r>
        <w:rPr>
          <w:rFonts w:ascii="Calibri" w:hAnsi="Calibri"/>
          <w:i/>
          <w:sz w:val="20"/>
        </w:rPr>
        <w:t>R ≥ 55 → Level-3 (Mandatory)  |  25 ≤ R &lt; 55 → Level-2  |  R &lt; 25 → Level-1</w:t>
      </w:r>
    </w:p>
    <w:p>
      <w:pPr>
        <w:pStyle w:val="Heading3"/>
      </w:pPr>
      <w:r>
        <w:rPr>
          <w:rFonts w:ascii="Calibri" w:hAnsi="Calibri"/>
          <w:color w:val="2C5F2D"/>
          <w:sz w:val="28"/>
        </w:rPr>
        <w:t>5.2 Bridge-Specific Sensor Deployment Guide</w:t>
      </w:r>
    </w:p>
    <w:tbl>
      <w:tblPr>
        <w:tblStyle w:val="TableGrid"/>
        <w:tblW w:type="auto" w:w="0"/>
        <w:jc w:val="center"/>
        <w:tblLook w:firstColumn="1" w:firstRow="1" w:lastColumn="0" w:lastRow="0" w:noHBand="0" w:noVBand="1" w:val="04A0"/>
      </w:tblPr>
      <w:tblGrid>
        <w:gridCol w:w="3024"/>
        <w:gridCol w:w="3024"/>
        <w:gridCol w:w="3024"/>
      </w:tblGrid>
      <w:tr>
        <w:tc>
          <w:tcPr>
            <w:tcW w:type="dxa" w:w="1984"/>
            <w:shd w:fill="1A3C6D"/>
          </w:tcPr>
          <w:p>
            <w:pPr>
              <w:jc w:val="left"/>
            </w:pPr>
            <w:r/>
            <w:r>
              <w:rPr>
                <w:rFonts w:ascii="Calibri" w:hAnsi="Calibri"/>
                <w:b/>
                <w:color w:val="FFFFFF"/>
                <w:sz w:val="18"/>
              </w:rPr>
              <w:t>Bridge Type</w:t>
            </w:r>
          </w:p>
        </w:tc>
        <w:tc>
          <w:tcPr>
            <w:tcW w:type="dxa" w:w="3118"/>
            <w:shd w:fill="1A3C6D"/>
          </w:tcPr>
          <w:p>
            <w:pPr>
              <w:jc w:val="left"/>
            </w:pPr>
            <w:r/>
            <w:r>
              <w:rPr>
                <w:rFonts w:ascii="Calibri" w:hAnsi="Calibri"/>
                <w:b/>
                <w:color w:val="FFFFFF"/>
                <w:sz w:val="18"/>
              </w:rPr>
              <w:t>Critical Monitoring Locations</w:t>
            </w:r>
          </w:p>
        </w:tc>
        <w:tc>
          <w:tcPr>
            <w:tcW w:type="dxa" w:w="3685"/>
            <w:shd w:fill="1A3C6D"/>
          </w:tcPr>
          <w:p>
            <w:pPr>
              <w:jc w:val="left"/>
            </w:pPr>
            <w:r/>
            <w:r>
              <w:rPr>
                <w:rFonts w:ascii="Calibri" w:hAnsi="Calibri"/>
                <w:b/>
                <w:color w:val="FFFFFF"/>
                <w:sz w:val="18"/>
              </w:rPr>
              <w:t>Key Parameters</w:t>
            </w:r>
          </w:p>
        </w:tc>
      </w:tr>
      <w:tr>
        <w:tc>
          <w:tcPr>
            <w:tcW w:type="dxa" w:w="1984"/>
          </w:tcPr>
          <w:p>
            <w:r/>
            <w:r>
              <w:rPr>
                <w:rFonts w:ascii="Calibri" w:hAnsi="Calibri"/>
                <w:sz w:val="18"/>
              </w:rPr>
              <w:t>Cable-Stayed</w:t>
            </w:r>
          </w:p>
        </w:tc>
        <w:tc>
          <w:tcPr>
            <w:tcW w:type="dxa" w:w="3118"/>
          </w:tcPr>
          <w:p>
            <w:r/>
            <w:r>
              <w:rPr>
                <w:rFonts w:ascii="Calibri" w:hAnsi="Calibri"/>
                <w:sz w:val="18"/>
              </w:rPr>
              <w:t>Pylon top/base, stay cables (every 4th cable), deck at L/4, L/2, 3L/4</w:t>
            </w:r>
          </w:p>
        </w:tc>
        <w:tc>
          <w:tcPr>
            <w:tcW w:type="dxa" w:w="3685"/>
          </w:tcPr>
          <w:p>
            <w:r/>
            <w:r>
              <w:rPr>
                <w:rFonts w:ascii="Calibri" w:hAnsi="Calibri"/>
                <w:sz w:val="18"/>
              </w:rPr>
              <w:t>Cable force, pylon tilt, deck displacement, acceleration, wind, temperature</w:t>
            </w:r>
          </w:p>
        </w:tc>
      </w:tr>
      <w:tr>
        <w:tc>
          <w:tcPr>
            <w:tcW w:type="dxa" w:w="1984"/>
            <w:shd w:fill="F0F3F7"/>
          </w:tcPr>
          <w:p>
            <w:r/>
            <w:r>
              <w:rPr>
                <w:rFonts w:ascii="Calibri" w:hAnsi="Calibri"/>
                <w:sz w:val="18"/>
              </w:rPr>
              <w:t>Suspension</w:t>
            </w:r>
          </w:p>
        </w:tc>
        <w:tc>
          <w:tcPr>
            <w:tcW w:type="dxa" w:w="3118"/>
            <w:shd w:fill="F0F3F7"/>
          </w:tcPr>
          <w:p>
            <w:r/>
            <w:r>
              <w:rPr>
                <w:rFonts w:ascii="Calibri" w:hAnsi="Calibri"/>
                <w:sz w:val="18"/>
              </w:rPr>
              <w:t>Tower top/base, main cables (anchorages), hangers, deck mid-span</w:t>
            </w:r>
          </w:p>
        </w:tc>
        <w:tc>
          <w:tcPr>
            <w:tcW w:type="dxa" w:w="3685"/>
            <w:shd w:fill="F0F3F7"/>
          </w:tcPr>
          <w:p>
            <w:r/>
            <w:r>
              <w:rPr>
                <w:rFonts w:ascii="Calibri" w:hAnsi="Calibri"/>
                <w:sz w:val="18"/>
              </w:rPr>
              <w:t>Cable tension, tower tilt, hanger force, deck modal, wind, GNSS</w:t>
            </w:r>
          </w:p>
        </w:tc>
      </w:tr>
      <w:tr>
        <w:tc>
          <w:tcPr>
            <w:tcW w:type="dxa" w:w="1984"/>
          </w:tcPr>
          <w:p>
            <w:r/>
            <w:r>
              <w:rPr>
                <w:rFonts w:ascii="Calibri" w:hAnsi="Calibri"/>
                <w:sz w:val="18"/>
              </w:rPr>
              <w:t>Extradosed</w:t>
            </w:r>
          </w:p>
        </w:tc>
        <w:tc>
          <w:tcPr>
            <w:tcW w:type="dxa" w:w="3118"/>
          </w:tcPr>
          <w:p>
            <w:r/>
            <w:r>
              <w:rPr>
                <w:rFonts w:ascii="Calibri" w:hAnsi="Calibri"/>
                <w:sz w:val="18"/>
              </w:rPr>
              <w:t>Pylon, extradosed cables, deck at L/2</w:t>
            </w:r>
          </w:p>
        </w:tc>
        <w:tc>
          <w:tcPr>
            <w:tcW w:type="dxa" w:w="3685"/>
          </w:tcPr>
          <w:p>
            <w:r/>
            <w:r>
              <w:rPr>
                <w:rFonts w:ascii="Calibri" w:hAnsi="Calibri"/>
                <w:sz w:val="18"/>
              </w:rPr>
              <w:t>Cable force, pylon inclination, deck strain, acceleration</w:t>
            </w:r>
          </w:p>
        </w:tc>
      </w:tr>
      <w:tr>
        <w:tc>
          <w:tcPr>
            <w:tcW w:type="dxa" w:w="1984"/>
            <w:shd w:fill="F0F3F7"/>
          </w:tcPr>
          <w:p>
            <w:r/>
            <w:r>
              <w:rPr>
                <w:rFonts w:ascii="Calibri" w:hAnsi="Calibri"/>
                <w:sz w:val="18"/>
              </w:rPr>
              <w:t>Steel Arch</w:t>
            </w:r>
          </w:p>
        </w:tc>
        <w:tc>
          <w:tcPr>
            <w:tcW w:type="dxa" w:w="3118"/>
            <w:shd w:fill="F0F3F7"/>
          </w:tcPr>
          <w:p>
            <w:r/>
            <w:r>
              <w:rPr>
                <w:rFonts w:ascii="Calibri" w:hAnsi="Calibri"/>
                <w:sz w:val="18"/>
              </w:rPr>
              <w:t>Crown &amp; springing of arch rib, hangers, deck beam</w:t>
            </w:r>
          </w:p>
        </w:tc>
        <w:tc>
          <w:tcPr>
            <w:tcW w:type="dxa" w:w="3685"/>
            <w:shd w:fill="F0F3F7"/>
          </w:tcPr>
          <w:p>
            <w:r/>
            <w:r>
              <w:rPr>
                <w:rFonts w:ascii="Calibri" w:hAnsi="Calibri"/>
                <w:sz w:val="18"/>
              </w:rPr>
              <w:t>Arch rib strain, acceleration, hanger tension, temperature</w:t>
            </w:r>
          </w:p>
        </w:tc>
      </w:tr>
      <w:tr>
        <w:tc>
          <w:tcPr>
            <w:tcW w:type="dxa" w:w="1984"/>
          </w:tcPr>
          <w:p>
            <w:r/>
            <w:r>
              <w:rPr>
                <w:rFonts w:ascii="Calibri" w:hAnsi="Calibri"/>
                <w:sz w:val="18"/>
              </w:rPr>
              <w:t>Balanced Cantilever (PSC)</w:t>
            </w:r>
          </w:p>
        </w:tc>
        <w:tc>
          <w:tcPr>
            <w:tcW w:type="dxa" w:w="3118"/>
          </w:tcPr>
          <w:p>
            <w:r/>
            <w:r>
              <w:rPr>
                <w:rFonts w:ascii="Calibri" w:hAnsi="Calibri"/>
                <w:sz w:val="18"/>
              </w:rPr>
              <w:t>Pier top segment, L/4 segments, mid-span closure, bearing</w:t>
            </w:r>
          </w:p>
        </w:tc>
        <w:tc>
          <w:tcPr>
            <w:tcW w:type="dxa" w:w="3685"/>
          </w:tcPr>
          <w:p>
            <w:r/>
            <w:r>
              <w:rPr>
                <w:rFonts w:ascii="Calibri" w:hAnsi="Calibri"/>
                <w:sz w:val="18"/>
              </w:rPr>
              <w:t>Concrete strain, deflection, bearing displacement, temperature gradient</w:t>
            </w:r>
          </w:p>
        </w:tc>
      </w:tr>
      <w:tr>
        <w:tc>
          <w:tcPr>
            <w:tcW w:type="dxa" w:w="1984"/>
            <w:shd w:fill="F0F3F7"/>
          </w:tcPr>
          <w:p>
            <w:r/>
            <w:r>
              <w:rPr>
                <w:rFonts w:ascii="Calibri" w:hAnsi="Calibri"/>
                <w:sz w:val="18"/>
              </w:rPr>
              <w:t>Segmental Box Girder</w:t>
            </w:r>
          </w:p>
        </w:tc>
        <w:tc>
          <w:tcPr>
            <w:tcW w:type="dxa" w:w="3118"/>
            <w:shd w:fill="F0F3F7"/>
          </w:tcPr>
          <w:p>
            <w:r/>
            <w:r>
              <w:rPr>
                <w:rFonts w:ascii="Calibri" w:hAnsi="Calibri"/>
                <w:sz w:val="18"/>
              </w:rPr>
              <w:t>Mid-span soffit, web (shear-critical), pier diaphragm, bearing</w:t>
            </w:r>
          </w:p>
        </w:tc>
        <w:tc>
          <w:tcPr>
            <w:tcW w:type="dxa" w:w="3685"/>
            <w:shd w:fill="F0F3F7"/>
          </w:tcPr>
          <w:p>
            <w:r/>
            <w:r>
              <w:rPr>
                <w:rFonts w:ascii="Calibri" w:hAnsi="Calibri"/>
                <w:sz w:val="18"/>
              </w:rPr>
              <w:t>Strain, deflection, acceleration, bearing movement</w:t>
            </w:r>
          </w:p>
        </w:tc>
      </w:tr>
      <w:tr>
        <w:tc>
          <w:tcPr>
            <w:tcW w:type="dxa" w:w="1984"/>
          </w:tcPr>
          <w:p>
            <w:r/>
            <w:r>
              <w:rPr>
                <w:rFonts w:ascii="Calibri" w:hAnsi="Calibri"/>
                <w:sz w:val="18"/>
              </w:rPr>
              <w:t>Composite Steel-Concrete</w:t>
            </w:r>
          </w:p>
        </w:tc>
        <w:tc>
          <w:tcPr>
            <w:tcW w:type="dxa" w:w="3118"/>
          </w:tcPr>
          <w:p>
            <w:r/>
            <w:r>
              <w:rPr>
                <w:rFonts w:ascii="Calibri" w:hAnsi="Calibri"/>
                <w:sz w:val="18"/>
              </w:rPr>
              <w:t>Steel girder bottom flange, shear connectors zone, mid-span</w:t>
            </w:r>
          </w:p>
        </w:tc>
        <w:tc>
          <w:tcPr>
            <w:tcW w:type="dxa" w:w="3685"/>
          </w:tcPr>
          <w:p>
            <w:r/>
            <w:r>
              <w:rPr>
                <w:rFonts w:ascii="Calibri" w:hAnsi="Calibri"/>
                <w:sz w:val="18"/>
              </w:rPr>
              <w:t>Strain, acceleration, bearing displacement, fatigue cycle count</w:t>
            </w:r>
          </w:p>
        </w:tc>
      </w:tr>
      <w:tr>
        <w:tc>
          <w:tcPr>
            <w:tcW w:type="dxa" w:w="1984"/>
            <w:shd w:fill="F0F3F7"/>
          </w:tcPr>
          <w:p>
            <w:r/>
            <w:r>
              <w:rPr>
                <w:rFonts w:ascii="Calibri" w:hAnsi="Calibri"/>
                <w:sz w:val="18"/>
              </w:rPr>
              <w:t>Simply-Supported PSC/RCC</w:t>
            </w:r>
          </w:p>
        </w:tc>
        <w:tc>
          <w:tcPr>
            <w:tcW w:type="dxa" w:w="3118"/>
            <w:shd w:fill="F0F3F7"/>
          </w:tcPr>
          <w:p>
            <w:r/>
            <w:r>
              <w:rPr>
                <w:rFonts w:ascii="Calibri" w:hAnsi="Calibri"/>
                <w:sz w:val="18"/>
              </w:rPr>
              <w:t>Mid-span soffit, bearing, pier top</w:t>
            </w:r>
          </w:p>
        </w:tc>
        <w:tc>
          <w:tcPr>
            <w:tcW w:type="dxa" w:w="3685"/>
            <w:shd w:fill="F0F3F7"/>
          </w:tcPr>
          <w:p>
            <w:r/>
            <w:r>
              <w:rPr>
                <w:rFonts w:ascii="Calibri" w:hAnsi="Calibri"/>
                <w:sz w:val="18"/>
              </w:rPr>
              <w:t>Deflection, bearing tilt, acceleration, scour</w:t>
            </w:r>
          </w:p>
        </w:tc>
      </w:tr>
    </w:tbl>
    <w:p/>
    <w:p>
      <w:r>
        <w:br w:type="page"/>
      </w:r>
    </w:p>
    <w:p>
      <w:pPr>
        <w:pStyle w:val="Heading2"/>
      </w:pPr>
      <w:r>
        <w:rPr>
          <w:rFonts w:ascii="Calibri" w:hAnsi="Calibri"/>
          <w:color w:val="1A3C6D"/>
          <w:sz w:val="36"/>
        </w:rPr>
        <w:t>6. Instrumentation &amp; Sensor Requirements</w:t>
      </w:r>
    </w:p>
    <w:p>
      <w:pPr>
        <w:pStyle w:val="Heading3"/>
      </w:pPr>
      <w:r>
        <w:rPr>
          <w:rFonts w:ascii="Calibri" w:hAnsi="Calibri"/>
          <w:color w:val="2C5F2D"/>
          <w:sz w:val="28"/>
        </w:rPr>
        <w:t>6.1 General Sensor Specifications</w:t>
      </w:r>
    </w:p>
    <w:p>
      <w:pPr>
        <w:pStyle w:val="ListBullet"/>
      </w:pPr>
      <w:r>
        <w:t>Environmental: Operating temperature −10 °C to +70 °C (Indian desert to Himalayan conditions); IP67 minimum enclosure (IP68 if submersible or exposed to monsoon flooding).</w:t>
      </w:r>
    </w:p>
    <w:p>
      <w:pPr>
        <w:pStyle w:val="ListBullet"/>
      </w:pPr>
      <w:r>
        <w:t>Humidity: 0–100% RH, condensing.</w:t>
      </w:r>
    </w:p>
    <w:p>
      <w:pPr>
        <w:pStyle w:val="ListBullet"/>
      </w:pPr>
      <w:r>
        <w:t>Electromagnetic Compatibility: IEC 61000-4 series — immunity to lightning-induced surges (common in Indian monsoon) per IEC 62305.</w:t>
      </w:r>
    </w:p>
    <w:p>
      <w:pPr>
        <w:pStyle w:val="ListBullet"/>
      </w:pPr>
      <w:r>
        <w:t>Vibration / Shock: Withstand transport on Indian roads as per IS 9000.</w:t>
      </w:r>
    </w:p>
    <w:p>
      <w:pPr>
        <w:pStyle w:val="ListBullet"/>
      </w:pPr>
      <w:r>
        <w:t>Calibration: Factory-calibrated with traceable certificate to NABL-accredited lab; field recalibration interval not exceeding 24 months.</w:t>
      </w:r>
    </w:p>
    <w:p>
      <w:pPr>
        <w:pStyle w:val="ListBullet"/>
      </w:pPr>
      <w:r>
        <w:t>Connectors: Military-grade (MIL-DTL-38999 or equivalent) with gold-plated contacts; all outdoor junctions in IP68 junction boxes with desiccant breathers.</w:t>
      </w:r>
    </w:p>
    <w:p>
      <w:pPr>
        <w:pStyle w:val="ListBullet"/>
      </w:pPr>
      <w:r>
        <w:t>Service Life: Minimum 15 years for embedded sensors; 10 years for surface-mounted.</w:t>
      </w:r>
    </w:p>
    <w:p>
      <w:pPr>
        <w:pStyle w:val="Heading3"/>
      </w:pPr>
      <w:r>
        <w:rPr>
          <w:rFonts w:ascii="Calibri" w:hAnsi="Calibri"/>
          <w:color w:val="2C5F2D"/>
          <w:sz w:val="28"/>
        </w:rPr>
        <w:t>6.2 Sensor Type Specifications</w:t>
      </w:r>
    </w:p>
    <w:p>
      <w:pPr>
        <w:pStyle w:val="Heading4"/>
      </w:pPr>
      <w:r>
        <w:rPr>
          <w:rFonts w:ascii="Calibri" w:hAnsi="Calibri"/>
          <w:color w:val="E65100"/>
          <w:sz w:val="24"/>
        </w:rPr>
        <w:t>6.2.1 Accelerometers</w:t>
      </w:r>
    </w:p>
    <w:tbl>
      <w:tblPr>
        <w:tblStyle w:val="TableGrid"/>
        <w:tblW w:type="auto" w:w="0"/>
        <w:jc w:val="center"/>
        <w:tblLook w:firstColumn="1" w:firstRow="1" w:lastColumn="0" w:lastRow="0" w:noHBand="0" w:noVBand="1" w:val="04A0"/>
      </w:tblPr>
      <w:tblGrid>
        <w:gridCol w:w="3024"/>
        <w:gridCol w:w="3024"/>
        <w:gridCol w:w="3024"/>
      </w:tblGrid>
      <w:tr>
        <w:tc>
          <w:tcPr>
            <w:tcW w:type="dxa" w:w="2551"/>
            <w:shd w:fill="1A3C6D"/>
          </w:tcPr>
          <w:p>
            <w:pPr>
              <w:jc w:val="left"/>
            </w:pPr>
            <w:r/>
            <w:r>
              <w:rPr>
                <w:rFonts w:ascii="Calibri" w:hAnsi="Calibri"/>
                <w:b/>
                <w:color w:val="FFFFFF"/>
                <w:sz w:val="18"/>
              </w:rPr>
              <w:t>Parameter</w:t>
            </w:r>
          </w:p>
        </w:tc>
        <w:tc>
          <w:tcPr>
            <w:tcW w:type="dxa" w:w="3118"/>
            <w:shd w:fill="1A3C6D"/>
          </w:tcPr>
          <w:p>
            <w:pPr>
              <w:jc w:val="left"/>
            </w:pPr>
            <w:r/>
            <w:r>
              <w:rPr>
                <w:rFonts w:ascii="Calibri" w:hAnsi="Calibri"/>
                <w:b/>
                <w:color w:val="FFFFFF"/>
                <w:sz w:val="18"/>
              </w:rPr>
              <w:t>Level-1 / 2</w:t>
            </w:r>
          </w:p>
        </w:tc>
        <w:tc>
          <w:tcPr>
            <w:tcW w:type="dxa" w:w="3118"/>
            <w:shd w:fill="1A3C6D"/>
          </w:tcPr>
          <w:p>
            <w:pPr>
              <w:jc w:val="left"/>
            </w:pPr>
            <w:r/>
            <w:r>
              <w:rPr>
                <w:rFonts w:ascii="Calibri" w:hAnsi="Calibri"/>
                <w:b/>
                <w:color w:val="FFFFFF"/>
                <w:sz w:val="18"/>
              </w:rPr>
              <w:t>Level-3</w:t>
            </w:r>
          </w:p>
        </w:tc>
      </w:tr>
      <w:tr>
        <w:tc>
          <w:tcPr>
            <w:tcW w:type="dxa" w:w="2551"/>
          </w:tcPr>
          <w:p>
            <w:r/>
            <w:r>
              <w:rPr>
                <w:rFonts w:ascii="Calibri" w:hAnsi="Calibri"/>
                <w:sz w:val="18"/>
              </w:rPr>
              <w:t>Type</w:t>
            </w:r>
          </w:p>
        </w:tc>
        <w:tc>
          <w:tcPr>
            <w:tcW w:type="dxa" w:w="3118"/>
          </w:tcPr>
          <w:p>
            <w:r/>
            <w:r>
              <w:rPr>
                <w:rFonts w:ascii="Calibri" w:hAnsi="Calibri"/>
                <w:sz w:val="18"/>
              </w:rPr>
              <w:t>MEMS capacitive or force-balance servo</w:t>
            </w:r>
          </w:p>
        </w:tc>
        <w:tc>
          <w:tcPr>
            <w:tcW w:type="dxa" w:w="3118"/>
          </w:tcPr>
          <w:p>
            <w:r/>
            <w:r>
              <w:rPr>
                <w:rFonts w:ascii="Calibri" w:hAnsi="Calibri"/>
                <w:sz w:val="18"/>
              </w:rPr>
              <w:t>Force-balance servo (preferred)</w:t>
            </w:r>
          </w:p>
        </w:tc>
      </w:tr>
      <w:tr>
        <w:tc>
          <w:tcPr>
            <w:tcW w:type="dxa" w:w="2551"/>
            <w:shd w:fill="F0F3F7"/>
          </w:tcPr>
          <w:p>
            <w:r/>
            <w:r>
              <w:rPr>
                <w:rFonts w:ascii="Calibri" w:hAnsi="Calibri"/>
                <w:sz w:val="18"/>
              </w:rPr>
              <w:t>Range</w:t>
            </w:r>
          </w:p>
        </w:tc>
        <w:tc>
          <w:tcPr>
            <w:tcW w:type="dxa" w:w="3118"/>
            <w:shd w:fill="F0F3F7"/>
          </w:tcPr>
          <w:p>
            <w:r/>
            <w:r>
              <w:rPr>
                <w:rFonts w:ascii="Calibri" w:hAnsi="Calibri"/>
                <w:sz w:val="18"/>
              </w:rPr>
              <w:t>±2 g</w:t>
            </w:r>
          </w:p>
        </w:tc>
        <w:tc>
          <w:tcPr>
            <w:tcW w:type="dxa" w:w="3118"/>
            <w:shd w:fill="F0F3F7"/>
          </w:tcPr>
          <w:p>
            <w:r/>
            <w:r>
              <w:rPr>
                <w:rFonts w:ascii="Calibri" w:hAnsi="Calibri"/>
                <w:sz w:val="18"/>
              </w:rPr>
              <w:t>±4 g (seismic)</w:t>
            </w:r>
          </w:p>
        </w:tc>
      </w:tr>
      <w:tr>
        <w:tc>
          <w:tcPr>
            <w:tcW w:type="dxa" w:w="2551"/>
          </w:tcPr>
          <w:p>
            <w:r/>
            <w:r>
              <w:rPr>
                <w:rFonts w:ascii="Calibri" w:hAnsi="Calibri"/>
                <w:sz w:val="18"/>
              </w:rPr>
              <w:t>Frequency Response</w:t>
            </w:r>
          </w:p>
        </w:tc>
        <w:tc>
          <w:tcPr>
            <w:tcW w:type="dxa" w:w="3118"/>
          </w:tcPr>
          <w:p>
            <w:r/>
            <w:r>
              <w:rPr>
                <w:rFonts w:ascii="Calibri" w:hAnsi="Calibri"/>
                <w:sz w:val="18"/>
              </w:rPr>
              <w:t>DC to 200 Hz (−3 dB)</w:t>
            </w:r>
          </w:p>
        </w:tc>
        <w:tc>
          <w:tcPr>
            <w:tcW w:type="dxa" w:w="3118"/>
          </w:tcPr>
          <w:p>
            <w:r/>
            <w:r>
              <w:rPr>
                <w:rFonts w:ascii="Calibri" w:hAnsi="Calibri"/>
                <w:sz w:val="18"/>
              </w:rPr>
              <w:t>DC to 400 Hz (−3 dB)</w:t>
            </w:r>
          </w:p>
        </w:tc>
      </w:tr>
      <w:tr>
        <w:tc>
          <w:tcPr>
            <w:tcW w:type="dxa" w:w="2551"/>
            <w:shd w:fill="F0F3F7"/>
          </w:tcPr>
          <w:p>
            <w:r/>
            <w:r>
              <w:rPr>
                <w:rFonts w:ascii="Calibri" w:hAnsi="Calibri"/>
                <w:sz w:val="18"/>
              </w:rPr>
              <w:t>Noise Floor</w:t>
            </w:r>
          </w:p>
        </w:tc>
        <w:tc>
          <w:tcPr>
            <w:tcW w:type="dxa" w:w="3118"/>
            <w:shd w:fill="F0F3F7"/>
          </w:tcPr>
          <w:p>
            <w:r/>
            <w:r>
              <w:rPr>
                <w:rFonts w:ascii="Calibri" w:hAnsi="Calibri"/>
                <w:sz w:val="18"/>
              </w:rPr>
              <w:t>≤ 3 µg/√Hz</w:t>
            </w:r>
          </w:p>
        </w:tc>
        <w:tc>
          <w:tcPr>
            <w:tcW w:type="dxa" w:w="3118"/>
            <w:shd w:fill="F0F3F7"/>
          </w:tcPr>
          <w:p>
            <w:r/>
            <w:r>
              <w:rPr>
                <w:rFonts w:ascii="Calibri" w:hAnsi="Calibri"/>
                <w:sz w:val="18"/>
              </w:rPr>
              <w:t>≤ 1 µg/√Hz</w:t>
            </w:r>
          </w:p>
        </w:tc>
      </w:tr>
      <w:tr>
        <w:tc>
          <w:tcPr>
            <w:tcW w:type="dxa" w:w="2551"/>
          </w:tcPr>
          <w:p>
            <w:r/>
            <w:r>
              <w:rPr>
                <w:rFonts w:ascii="Calibri" w:hAnsi="Calibri"/>
                <w:sz w:val="18"/>
              </w:rPr>
              <w:t>Resolution</w:t>
            </w:r>
          </w:p>
        </w:tc>
        <w:tc>
          <w:tcPr>
            <w:tcW w:type="dxa" w:w="3118"/>
          </w:tcPr>
          <w:p>
            <w:r/>
            <w:r>
              <w:rPr>
                <w:rFonts w:ascii="Calibri" w:hAnsi="Calibri"/>
                <w:sz w:val="18"/>
              </w:rPr>
              <w:t>≤ 1 µg</w:t>
            </w:r>
          </w:p>
        </w:tc>
        <w:tc>
          <w:tcPr>
            <w:tcW w:type="dxa" w:w="3118"/>
          </w:tcPr>
          <w:p>
            <w:r/>
            <w:r>
              <w:rPr>
                <w:rFonts w:ascii="Calibri" w:hAnsi="Calibri"/>
                <w:sz w:val="18"/>
              </w:rPr>
              <w:t>≤ 0.1 µg</w:t>
            </w:r>
          </w:p>
        </w:tc>
      </w:tr>
      <w:tr>
        <w:tc>
          <w:tcPr>
            <w:tcW w:type="dxa" w:w="2551"/>
            <w:shd w:fill="F0F3F7"/>
          </w:tcPr>
          <w:p>
            <w:r/>
            <w:r>
              <w:rPr>
                <w:rFonts w:ascii="Calibri" w:hAnsi="Calibri"/>
                <w:sz w:val="18"/>
              </w:rPr>
              <w:t>Dynamic Range</w:t>
            </w:r>
          </w:p>
        </w:tc>
        <w:tc>
          <w:tcPr>
            <w:tcW w:type="dxa" w:w="3118"/>
            <w:shd w:fill="F0F3F7"/>
          </w:tcPr>
          <w:p>
            <w:r/>
            <w:r>
              <w:rPr>
                <w:rFonts w:ascii="Calibri" w:hAnsi="Calibri"/>
                <w:sz w:val="18"/>
              </w:rPr>
              <w:t>≥ 120 dB</w:t>
            </w:r>
          </w:p>
        </w:tc>
        <w:tc>
          <w:tcPr>
            <w:tcW w:type="dxa" w:w="3118"/>
            <w:shd w:fill="F0F3F7"/>
          </w:tcPr>
          <w:p>
            <w:r/>
            <w:r>
              <w:rPr>
                <w:rFonts w:ascii="Calibri" w:hAnsi="Calibri"/>
                <w:sz w:val="18"/>
              </w:rPr>
              <w:t>≥ 140 dB</w:t>
            </w:r>
          </w:p>
        </w:tc>
      </w:tr>
      <w:tr>
        <w:tc>
          <w:tcPr>
            <w:tcW w:type="dxa" w:w="2551"/>
          </w:tcPr>
          <w:p>
            <w:r/>
            <w:r>
              <w:rPr>
                <w:rFonts w:ascii="Calibri" w:hAnsi="Calibri"/>
                <w:sz w:val="18"/>
              </w:rPr>
              <w:t>Sensitivity</w:t>
            </w:r>
          </w:p>
        </w:tc>
        <w:tc>
          <w:tcPr>
            <w:tcW w:type="dxa" w:w="3118"/>
          </w:tcPr>
          <w:p>
            <w:r/>
            <w:r>
              <w:rPr>
                <w:rFonts w:ascii="Calibri" w:hAnsi="Calibri"/>
                <w:sz w:val="18"/>
              </w:rPr>
              <w:t>2.5 V/g or 10 V/g</w:t>
            </w:r>
          </w:p>
        </w:tc>
        <w:tc>
          <w:tcPr>
            <w:tcW w:type="dxa" w:w="3118"/>
          </w:tcPr>
          <w:p>
            <w:r/>
            <w:r>
              <w:rPr>
                <w:rFonts w:ascii="Calibri" w:hAnsi="Calibri"/>
                <w:sz w:val="18"/>
              </w:rPr>
              <w:t>10 V/g</w:t>
            </w:r>
          </w:p>
        </w:tc>
      </w:tr>
      <w:tr>
        <w:tc>
          <w:tcPr>
            <w:tcW w:type="dxa" w:w="2551"/>
            <w:shd w:fill="F0F3F7"/>
          </w:tcPr>
          <w:p>
            <w:r/>
            <w:r>
              <w:rPr>
                <w:rFonts w:ascii="Calibri" w:hAnsi="Calibri"/>
                <w:sz w:val="18"/>
              </w:rPr>
              <w:t>Output</w:t>
            </w:r>
          </w:p>
        </w:tc>
        <w:tc>
          <w:tcPr>
            <w:tcW w:type="dxa" w:w="3118"/>
            <w:shd w:fill="F0F3F7"/>
          </w:tcPr>
          <w:p>
            <w:r/>
            <w:r>
              <w:rPr>
                <w:rFonts w:ascii="Calibri" w:hAnsi="Calibri"/>
                <w:sz w:val="18"/>
              </w:rPr>
              <w:t>±10 V differential or IEPE</w:t>
            </w:r>
          </w:p>
        </w:tc>
        <w:tc>
          <w:tcPr>
            <w:tcW w:type="dxa" w:w="3118"/>
            <w:shd w:fill="F0F3F7"/>
          </w:tcPr>
          <w:p>
            <w:r/>
            <w:r>
              <w:rPr>
                <w:rFonts w:ascii="Calibri" w:hAnsi="Calibri"/>
                <w:sz w:val="18"/>
              </w:rPr>
              <w:t>±10 V differential</w:t>
            </w:r>
          </w:p>
        </w:tc>
      </w:tr>
      <w:tr>
        <w:tc>
          <w:tcPr>
            <w:tcW w:type="dxa" w:w="2551"/>
          </w:tcPr>
          <w:p>
            <w:r/>
            <w:r>
              <w:rPr>
                <w:rFonts w:ascii="Calibri" w:hAnsi="Calibri"/>
                <w:sz w:val="18"/>
              </w:rPr>
              <w:t>Mounting</w:t>
            </w:r>
          </w:p>
        </w:tc>
        <w:tc>
          <w:tcPr>
            <w:tcW w:type="dxa" w:w="3118"/>
          </w:tcPr>
          <w:p>
            <w:r/>
            <w:r>
              <w:rPr>
                <w:rFonts w:ascii="Calibri" w:hAnsi="Calibri"/>
                <w:sz w:val="18"/>
              </w:rPr>
              <w:t>Stud / adhesive / levelling base plate</w:t>
            </w:r>
          </w:p>
        </w:tc>
        <w:tc>
          <w:tcPr>
            <w:tcW w:type="dxa" w:w="3118"/>
          </w:tcPr>
          <w:p>
            <w:r/>
            <w:r>
              <w:rPr>
                <w:rFonts w:ascii="Calibri" w:hAnsi="Calibri"/>
                <w:sz w:val="18"/>
              </w:rPr>
              <w:t>Stud with levelling base plate</w:t>
            </w:r>
          </w:p>
        </w:tc>
      </w:tr>
    </w:tbl>
    <w:p/>
    <w:p>
      <w:pPr>
        <w:pStyle w:val="Heading4"/>
      </w:pPr>
      <w:r>
        <w:rPr>
          <w:rFonts w:ascii="Calibri" w:hAnsi="Calibri"/>
          <w:color w:val="E65100"/>
          <w:sz w:val="24"/>
        </w:rPr>
        <w:t>6.2.2 Strain Gauges</w:t>
      </w:r>
    </w:p>
    <w:tbl>
      <w:tblPr>
        <w:tblStyle w:val="TableGrid"/>
        <w:tblW w:type="auto" w:w="0"/>
        <w:jc w:val="center"/>
        <w:tblLook w:firstColumn="1" w:firstRow="1" w:lastColumn="0" w:lastRow="0" w:noHBand="0" w:noVBand="1" w:val="04A0"/>
      </w:tblPr>
      <w:tblGrid>
        <w:gridCol w:w="2268"/>
        <w:gridCol w:w="2268"/>
        <w:gridCol w:w="2268"/>
        <w:gridCol w:w="2268"/>
      </w:tblGrid>
      <w:tr>
        <w:tc>
          <w:tcPr>
            <w:tcW w:type="dxa" w:w="1984"/>
            <w:shd w:fill="1A3C6D"/>
          </w:tcPr>
          <w:p>
            <w:pPr>
              <w:jc w:val="left"/>
            </w:pPr>
            <w:r/>
            <w:r>
              <w:rPr>
                <w:rFonts w:ascii="Calibri" w:hAnsi="Calibri"/>
                <w:b/>
                <w:color w:val="FFFFFF"/>
                <w:sz w:val="18"/>
              </w:rPr>
              <w:t>Parameter</w:t>
            </w:r>
          </w:p>
        </w:tc>
        <w:tc>
          <w:tcPr>
            <w:tcW w:type="dxa" w:w="2268"/>
            <w:shd w:fill="1A3C6D"/>
          </w:tcPr>
          <w:p>
            <w:pPr>
              <w:jc w:val="left"/>
            </w:pPr>
            <w:r/>
            <w:r>
              <w:rPr>
                <w:rFonts w:ascii="Calibri" w:hAnsi="Calibri"/>
                <w:b/>
                <w:color w:val="FFFFFF"/>
                <w:sz w:val="18"/>
              </w:rPr>
              <w:t>Electrical Resistance</w:t>
            </w:r>
          </w:p>
        </w:tc>
        <w:tc>
          <w:tcPr>
            <w:tcW w:type="dxa" w:w="2268"/>
            <w:shd w:fill="1A3C6D"/>
          </w:tcPr>
          <w:p>
            <w:pPr>
              <w:jc w:val="left"/>
            </w:pPr>
            <w:r/>
            <w:r>
              <w:rPr>
                <w:rFonts w:ascii="Calibri" w:hAnsi="Calibri"/>
                <w:b/>
                <w:color w:val="FFFFFF"/>
                <w:sz w:val="18"/>
              </w:rPr>
              <w:t>Vibrating Wire (VW)</w:t>
            </w:r>
          </w:p>
        </w:tc>
        <w:tc>
          <w:tcPr>
            <w:tcW w:type="dxa" w:w="2268"/>
            <w:shd w:fill="1A3C6D"/>
          </w:tcPr>
          <w:p>
            <w:pPr>
              <w:jc w:val="left"/>
            </w:pPr>
            <w:r/>
            <w:r>
              <w:rPr>
                <w:rFonts w:ascii="Calibri" w:hAnsi="Calibri"/>
                <w:b/>
                <w:color w:val="FFFFFF"/>
                <w:sz w:val="18"/>
              </w:rPr>
              <w:t>Fibre Bragg Grating (FBG)</w:t>
            </w:r>
          </w:p>
        </w:tc>
      </w:tr>
      <w:tr>
        <w:tc>
          <w:tcPr>
            <w:tcW w:type="dxa" w:w="1984"/>
          </w:tcPr>
          <w:p>
            <w:r/>
            <w:r>
              <w:rPr>
                <w:rFonts w:ascii="Calibri" w:hAnsi="Calibri"/>
                <w:sz w:val="18"/>
              </w:rPr>
              <w:t>Gauge Length</w:t>
            </w:r>
          </w:p>
        </w:tc>
        <w:tc>
          <w:tcPr>
            <w:tcW w:type="dxa" w:w="2268"/>
          </w:tcPr>
          <w:p>
            <w:r/>
            <w:r>
              <w:rPr>
                <w:rFonts w:ascii="Calibri" w:hAnsi="Calibri"/>
                <w:sz w:val="18"/>
              </w:rPr>
              <w:t>5–120 mm</w:t>
            </w:r>
          </w:p>
        </w:tc>
        <w:tc>
          <w:tcPr>
            <w:tcW w:type="dxa" w:w="2268"/>
          </w:tcPr>
          <w:p>
            <w:r/>
            <w:r>
              <w:rPr>
                <w:rFonts w:ascii="Calibri" w:hAnsi="Calibri"/>
                <w:sz w:val="18"/>
              </w:rPr>
              <w:t>150–300 mm</w:t>
            </w:r>
          </w:p>
        </w:tc>
        <w:tc>
          <w:tcPr>
            <w:tcW w:type="dxa" w:w="2268"/>
          </w:tcPr>
          <w:p>
            <w:r/>
            <w:r>
              <w:rPr>
                <w:rFonts w:ascii="Calibri" w:hAnsi="Calibri"/>
                <w:sz w:val="18"/>
              </w:rPr>
              <w:t>10–100 mm</w:t>
            </w:r>
          </w:p>
        </w:tc>
      </w:tr>
      <w:tr>
        <w:tc>
          <w:tcPr>
            <w:tcW w:type="dxa" w:w="1984"/>
            <w:shd w:fill="F0F3F7"/>
          </w:tcPr>
          <w:p>
            <w:r/>
            <w:r>
              <w:rPr>
                <w:rFonts w:ascii="Calibri" w:hAnsi="Calibri"/>
                <w:sz w:val="18"/>
              </w:rPr>
              <w:t>Range</w:t>
            </w:r>
          </w:p>
        </w:tc>
        <w:tc>
          <w:tcPr>
            <w:tcW w:type="dxa" w:w="2268"/>
            <w:shd w:fill="F0F3F7"/>
          </w:tcPr>
          <w:p>
            <w:r/>
            <w:r>
              <w:rPr>
                <w:rFonts w:ascii="Calibri" w:hAnsi="Calibri"/>
                <w:sz w:val="18"/>
              </w:rPr>
              <w:t>±3000 µε</w:t>
            </w:r>
          </w:p>
        </w:tc>
        <w:tc>
          <w:tcPr>
            <w:tcW w:type="dxa" w:w="2268"/>
            <w:shd w:fill="F0F3F7"/>
          </w:tcPr>
          <w:p>
            <w:r/>
            <w:r>
              <w:rPr>
                <w:rFonts w:ascii="Calibri" w:hAnsi="Calibri"/>
                <w:sz w:val="18"/>
              </w:rPr>
              <w:t>±3000 µε</w:t>
            </w:r>
          </w:p>
        </w:tc>
        <w:tc>
          <w:tcPr>
            <w:tcW w:type="dxa" w:w="2268"/>
            <w:shd w:fill="F0F3F7"/>
          </w:tcPr>
          <w:p>
            <w:r/>
            <w:r>
              <w:rPr>
                <w:rFonts w:ascii="Calibri" w:hAnsi="Calibri"/>
                <w:sz w:val="18"/>
              </w:rPr>
              <w:t>±5000 µε</w:t>
            </w:r>
          </w:p>
        </w:tc>
      </w:tr>
      <w:tr>
        <w:tc>
          <w:tcPr>
            <w:tcW w:type="dxa" w:w="1984"/>
          </w:tcPr>
          <w:p>
            <w:r/>
            <w:r>
              <w:rPr>
                <w:rFonts w:ascii="Calibri" w:hAnsi="Calibri"/>
                <w:sz w:val="18"/>
              </w:rPr>
              <w:t>Resolution</w:t>
            </w:r>
          </w:p>
        </w:tc>
        <w:tc>
          <w:tcPr>
            <w:tcW w:type="dxa" w:w="2268"/>
          </w:tcPr>
          <w:p>
            <w:r/>
            <w:r>
              <w:rPr>
                <w:rFonts w:ascii="Calibri" w:hAnsi="Calibri"/>
                <w:sz w:val="18"/>
              </w:rPr>
              <w:t>0.5 µε</w:t>
            </w:r>
          </w:p>
        </w:tc>
        <w:tc>
          <w:tcPr>
            <w:tcW w:type="dxa" w:w="2268"/>
          </w:tcPr>
          <w:p>
            <w:r/>
            <w:r>
              <w:rPr>
                <w:rFonts w:ascii="Calibri" w:hAnsi="Calibri"/>
                <w:sz w:val="18"/>
              </w:rPr>
              <w:t>0.5 µε</w:t>
            </w:r>
          </w:p>
        </w:tc>
        <w:tc>
          <w:tcPr>
            <w:tcW w:type="dxa" w:w="2268"/>
          </w:tcPr>
          <w:p>
            <w:r/>
            <w:r>
              <w:rPr>
                <w:rFonts w:ascii="Calibri" w:hAnsi="Calibri"/>
                <w:sz w:val="18"/>
              </w:rPr>
              <w:t>0.1 µε</w:t>
            </w:r>
          </w:p>
        </w:tc>
      </w:tr>
      <w:tr>
        <w:tc>
          <w:tcPr>
            <w:tcW w:type="dxa" w:w="1984"/>
            <w:shd w:fill="F0F3F7"/>
          </w:tcPr>
          <w:p>
            <w:r/>
            <w:r>
              <w:rPr>
                <w:rFonts w:ascii="Calibri" w:hAnsi="Calibri"/>
                <w:sz w:val="18"/>
              </w:rPr>
              <w:t>Long-term Stability</w:t>
            </w:r>
          </w:p>
        </w:tc>
        <w:tc>
          <w:tcPr>
            <w:tcW w:type="dxa" w:w="2268"/>
            <w:shd w:fill="F0F3F7"/>
          </w:tcPr>
          <w:p>
            <w:r/>
            <w:r>
              <w:rPr>
                <w:rFonts w:ascii="Calibri" w:hAnsi="Calibri"/>
                <w:sz w:val="18"/>
              </w:rPr>
              <w:t>Fair</w:t>
            </w:r>
          </w:p>
        </w:tc>
        <w:tc>
          <w:tcPr>
            <w:tcW w:type="dxa" w:w="2268"/>
            <w:shd w:fill="F0F3F7"/>
          </w:tcPr>
          <w:p>
            <w:r/>
            <w:r>
              <w:rPr>
                <w:rFonts w:ascii="Calibri" w:hAnsi="Calibri"/>
                <w:sz w:val="18"/>
              </w:rPr>
              <w:t>Excellent</w:t>
            </w:r>
          </w:p>
        </w:tc>
        <w:tc>
          <w:tcPr>
            <w:tcW w:type="dxa" w:w="2268"/>
            <w:shd w:fill="F0F3F7"/>
          </w:tcPr>
          <w:p>
            <w:r/>
            <w:r>
              <w:rPr>
                <w:rFonts w:ascii="Calibri" w:hAnsi="Calibri"/>
                <w:sz w:val="18"/>
              </w:rPr>
              <w:t>Excellent</w:t>
            </w:r>
          </w:p>
        </w:tc>
      </w:tr>
      <w:tr>
        <w:tc>
          <w:tcPr>
            <w:tcW w:type="dxa" w:w="1984"/>
          </w:tcPr>
          <w:p>
            <w:r/>
            <w:r>
              <w:rPr>
                <w:rFonts w:ascii="Calibri" w:hAnsi="Calibri"/>
                <w:sz w:val="18"/>
              </w:rPr>
              <w:t>EMI Immunity</w:t>
            </w:r>
          </w:p>
        </w:tc>
        <w:tc>
          <w:tcPr>
            <w:tcW w:type="dxa" w:w="2268"/>
          </w:tcPr>
          <w:p>
            <w:r/>
            <w:r>
              <w:rPr>
                <w:rFonts w:ascii="Calibri" w:hAnsi="Calibri"/>
                <w:sz w:val="18"/>
              </w:rPr>
              <w:t>Poor — requires shielding</w:t>
            </w:r>
          </w:p>
        </w:tc>
        <w:tc>
          <w:tcPr>
            <w:tcW w:type="dxa" w:w="2268"/>
          </w:tcPr>
          <w:p>
            <w:r/>
            <w:r>
              <w:rPr>
                <w:rFonts w:ascii="Calibri" w:hAnsi="Calibri"/>
                <w:sz w:val="18"/>
              </w:rPr>
              <w:t>Good</w:t>
            </w:r>
          </w:p>
        </w:tc>
        <w:tc>
          <w:tcPr>
            <w:tcW w:type="dxa" w:w="2268"/>
          </w:tcPr>
          <w:p>
            <w:r/>
            <w:r>
              <w:rPr>
                <w:rFonts w:ascii="Calibri" w:hAnsi="Calibri"/>
                <w:sz w:val="18"/>
              </w:rPr>
              <w:t>Excellent</w:t>
            </w:r>
          </w:p>
        </w:tc>
      </w:tr>
      <w:tr>
        <w:tc>
          <w:tcPr>
            <w:tcW w:type="dxa" w:w="1984"/>
            <w:shd w:fill="F0F3F7"/>
          </w:tcPr>
          <w:p>
            <w:r/>
            <w:r>
              <w:rPr>
                <w:rFonts w:ascii="Calibri" w:hAnsi="Calibri"/>
                <w:sz w:val="18"/>
              </w:rPr>
              <w:t>Dynamic Capability</w:t>
            </w:r>
          </w:p>
        </w:tc>
        <w:tc>
          <w:tcPr>
            <w:tcW w:type="dxa" w:w="2268"/>
            <w:shd w:fill="F0F3F7"/>
          </w:tcPr>
          <w:p>
            <w:r/>
            <w:r>
              <w:rPr>
                <w:rFonts w:ascii="Calibri" w:hAnsi="Calibri"/>
                <w:sz w:val="18"/>
              </w:rPr>
              <w:t>≤ 1 kHz</w:t>
            </w:r>
          </w:p>
        </w:tc>
        <w:tc>
          <w:tcPr>
            <w:tcW w:type="dxa" w:w="2268"/>
            <w:shd w:fill="F0F3F7"/>
          </w:tcPr>
          <w:p>
            <w:r/>
            <w:r>
              <w:rPr>
                <w:rFonts w:ascii="Calibri" w:hAnsi="Calibri"/>
                <w:sz w:val="18"/>
              </w:rPr>
              <w:t>≤ 50 Hz</w:t>
            </w:r>
          </w:p>
        </w:tc>
        <w:tc>
          <w:tcPr>
            <w:tcW w:type="dxa" w:w="2268"/>
            <w:shd w:fill="F0F3F7"/>
          </w:tcPr>
          <w:p>
            <w:r/>
            <w:r>
              <w:rPr>
                <w:rFonts w:ascii="Calibri" w:hAnsi="Calibri"/>
                <w:sz w:val="18"/>
              </w:rPr>
              <w:t>≤ 5 kHz</w:t>
            </w:r>
          </w:p>
        </w:tc>
      </w:tr>
      <w:tr>
        <w:tc>
          <w:tcPr>
            <w:tcW w:type="dxa" w:w="1984"/>
          </w:tcPr>
          <w:p>
            <w:r/>
            <w:r>
              <w:rPr>
                <w:rFonts w:ascii="Calibri" w:hAnsi="Calibri"/>
                <w:sz w:val="18"/>
              </w:rPr>
              <w:t>Recommended Use</w:t>
            </w:r>
          </w:p>
        </w:tc>
        <w:tc>
          <w:tcPr>
            <w:tcW w:type="dxa" w:w="2268"/>
          </w:tcPr>
          <w:p>
            <w:r/>
            <w:r>
              <w:rPr>
                <w:rFonts w:ascii="Calibri" w:hAnsi="Calibri"/>
                <w:sz w:val="18"/>
              </w:rPr>
              <w:t>Short-term tests</w:t>
            </w:r>
          </w:p>
        </w:tc>
        <w:tc>
          <w:tcPr>
            <w:tcW w:type="dxa" w:w="2268"/>
          </w:tcPr>
          <w:p>
            <w:r/>
            <w:r>
              <w:rPr>
                <w:rFonts w:ascii="Calibri" w:hAnsi="Calibri"/>
                <w:sz w:val="18"/>
              </w:rPr>
              <w:t>Long-term concrete strain</w:t>
            </w:r>
          </w:p>
        </w:tc>
        <w:tc>
          <w:tcPr>
            <w:tcW w:type="dxa" w:w="2268"/>
          </w:tcPr>
          <w:p>
            <w:r/>
            <w:r>
              <w:rPr>
                <w:rFonts w:ascii="Calibri" w:hAnsi="Calibri"/>
                <w:sz w:val="18"/>
              </w:rPr>
              <w:t>Long-term; multi-parameter; explosive zones</w:t>
            </w:r>
          </w:p>
        </w:tc>
      </w:tr>
    </w:tbl>
    <w:p/>
    <w:p>
      <w:pPr>
        <w:spacing w:before="160" w:after="160"/>
        <w:ind w:left="283"/>
      </w:pPr>
      <w:r>
        <w:rPr>
          <w:rFonts w:ascii="Calibri" w:hAnsi="Calibri"/>
          <w:b/>
          <w:color w:val="1976D2"/>
          <w:sz w:val="20"/>
        </w:rPr>
        <w:t xml:space="preserve">Note: </w:t>
      </w:r>
      <w:r>
        <w:rPr>
          <w:rFonts w:ascii="Calibri" w:hAnsi="Calibri"/>
          <w:i/>
          <w:sz w:val="20"/>
        </w:rPr>
        <w:t>For permanent long-term monitoring on concrete bridges, Vibrating Wire (VW) gauges are recommended for their zero-drift stability over decades. FBG sensors are recommended for steel bridges and in environments with high electromagnetic interference (e.g., near railway traction power, overhead HV lines common near Indian highways).</w:t>
      </w:r>
    </w:p>
    <w:p>
      <w:pPr>
        <w:pStyle w:val="Heading4"/>
      </w:pPr>
      <w:r>
        <w:rPr>
          <w:rFonts w:ascii="Calibri" w:hAnsi="Calibri"/>
          <w:color w:val="E65100"/>
          <w:sz w:val="24"/>
        </w:rPr>
        <w:t>6.2.3 Displacement / Crack Sensors</w:t>
      </w:r>
    </w:p>
    <w:tbl>
      <w:tblPr>
        <w:tblStyle w:val="TableGrid"/>
        <w:tblW w:type="auto" w:w="0"/>
        <w:jc w:val="center"/>
        <w:tblLook w:firstColumn="1" w:firstRow="1" w:lastColumn="0" w:lastRow="0" w:noHBand="0" w:noVBand="1" w:val="04A0"/>
      </w:tblPr>
      <w:tblGrid>
        <w:gridCol w:w="4536"/>
        <w:gridCol w:w="4536"/>
      </w:tblGrid>
      <w:tr>
        <w:tc>
          <w:tcPr>
            <w:tcW w:type="dxa" w:w="2551"/>
            <w:shd w:fill="1A3C6D"/>
          </w:tcPr>
          <w:p>
            <w:pPr>
              <w:jc w:val="left"/>
            </w:pPr>
            <w:r/>
            <w:r>
              <w:rPr>
                <w:rFonts w:ascii="Calibri" w:hAnsi="Calibri"/>
                <w:b/>
                <w:color w:val="FFFFFF"/>
                <w:sz w:val="18"/>
              </w:rPr>
              <w:t>Parameter</w:t>
            </w:r>
          </w:p>
        </w:tc>
        <w:tc>
          <w:tcPr>
            <w:tcW w:type="dxa" w:w="6236"/>
            <w:shd w:fill="1A3C6D"/>
          </w:tcPr>
          <w:p>
            <w:pPr>
              <w:jc w:val="left"/>
            </w:pPr>
            <w:r/>
            <w:r>
              <w:rPr>
                <w:rFonts w:ascii="Calibri" w:hAnsi="Calibri"/>
                <w:b/>
                <w:color w:val="FFFFFF"/>
                <w:sz w:val="18"/>
              </w:rPr>
              <w:t>Specification</w:t>
            </w:r>
          </w:p>
        </w:tc>
      </w:tr>
      <w:tr>
        <w:tc>
          <w:tcPr>
            <w:tcW w:type="dxa" w:w="2551"/>
          </w:tcPr>
          <w:p>
            <w:r/>
            <w:r>
              <w:rPr>
                <w:rFonts w:ascii="Calibri" w:hAnsi="Calibri"/>
                <w:sz w:val="18"/>
              </w:rPr>
              <w:t>Type</w:t>
            </w:r>
          </w:p>
        </w:tc>
        <w:tc>
          <w:tcPr>
            <w:tcW w:type="dxa" w:w="6236"/>
          </w:tcPr>
          <w:p>
            <w:r/>
            <w:r>
              <w:rPr>
                <w:rFonts w:ascii="Calibri" w:hAnsi="Calibri"/>
                <w:sz w:val="18"/>
              </w:rPr>
              <w:t>LVDT, draw-wire potentiometer, or magnetostrictive</w:t>
            </w:r>
          </w:p>
        </w:tc>
      </w:tr>
      <w:tr>
        <w:tc>
          <w:tcPr>
            <w:tcW w:type="dxa" w:w="2551"/>
            <w:shd w:fill="F0F3F7"/>
          </w:tcPr>
          <w:p>
            <w:r/>
            <w:r>
              <w:rPr>
                <w:rFonts w:ascii="Calibri" w:hAnsi="Calibri"/>
                <w:sz w:val="18"/>
              </w:rPr>
              <w:t>Range</w:t>
            </w:r>
          </w:p>
        </w:tc>
        <w:tc>
          <w:tcPr>
            <w:tcW w:type="dxa" w:w="6236"/>
            <w:shd w:fill="F0F3F7"/>
          </w:tcPr>
          <w:p>
            <w:r/>
            <w:r>
              <w:rPr>
                <w:rFonts w:ascii="Calibri" w:hAnsi="Calibri"/>
                <w:sz w:val="18"/>
              </w:rPr>
              <w:t>0–50 mm (crack), 0–500 mm (expansion joint)</w:t>
            </w:r>
          </w:p>
        </w:tc>
      </w:tr>
      <w:tr>
        <w:tc>
          <w:tcPr>
            <w:tcW w:type="dxa" w:w="2551"/>
          </w:tcPr>
          <w:p>
            <w:r/>
            <w:r>
              <w:rPr>
                <w:rFonts w:ascii="Calibri" w:hAnsi="Calibri"/>
                <w:sz w:val="18"/>
              </w:rPr>
              <w:t>Resolution</w:t>
            </w:r>
          </w:p>
        </w:tc>
        <w:tc>
          <w:tcPr>
            <w:tcW w:type="dxa" w:w="6236"/>
          </w:tcPr>
          <w:p>
            <w:r/>
            <w:r>
              <w:rPr>
                <w:rFonts w:ascii="Calibri" w:hAnsi="Calibri"/>
                <w:sz w:val="18"/>
              </w:rPr>
              <w:t>≤ 0.01 mm</w:t>
            </w:r>
          </w:p>
        </w:tc>
      </w:tr>
      <w:tr>
        <w:tc>
          <w:tcPr>
            <w:tcW w:type="dxa" w:w="2551"/>
            <w:shd w:fill="F0F3F7"/>
          </w:tcPr>
          <w:p>
            <w:r/>
            <w:r>
              <w:rPr>
                <w:rFonts w:ascii="Calibri" w:hAnsi="Calibri"/>
                <w:sz w:val="18"/>
              </w:rPr>
              <w:t>Accuracy</w:t>
            </w:r>
          </w:p>
        </w:tc>
        <w:tc>
          <w:tcPr>
            <w:tcW w:type="dxa" w:w="6236"/>
            <w:shd w:fill="F0F3F7"/>
          </w:tcPr>
          <w:p>
            <w:r/>
            <w:r>
              <w:rPr>
                <w:rFonts w:ascii="Calibri" w:hAnsi="Calibri"/>
                <w:sz w:val="18"/>
              </w:rPr>
              <w:t>±0.5% full-scale</w:t>
            </w:r>
          </w:p>
        </w:tc>
      </w:tr>
      <w:tr>
        <w:tc>
          <w:tcPr>
            <w:tcW w:type="dxa" w:w="2551"/>
          </w:tcPr>
          <w:p>
            <w:r/>
            <w:r>
              <w:rPr>
                <w:rFonts w:ascii="Calibri" w:hAnsi="Calibri"/>
                <w:sz w:val="18"/>
              </w:rPr>
              <w:t>Enclosure</w:t>
            </w:r>
          </w:p>
        </w:tc>
        <w:tc>
          <w:tcPr>
            <w:tcW w:type="dxa" w:w="6236"/>
          </w:tcPr>
          <w:p>
            <w:r/>
            <w:r>
              <w:rPr>
                <w:rFonts w:ascii="Calibri" w:hAnsi="Calibri"/>
                <w:sz w:val="18"/>
              </w:rPr>
              <w:t>IP68 with bellows / rod boot</w:t>
            </w:r>
          </w:p>
        </w:tc>
      </w:tr>
      <w:tr>
        <w:tc>
          <w:tcPr>
            <w:tcW w:type="dxa" w:w="2551"/>
            <w:shd w:fill="F0F3F7"/>
          </w:tcPr>
          <w:p>
            <w:r/>
            <w:r>
              <w:rPr>
                <w:rFonts w:ascii="Calibri" w:hAnsi="Calibri"/>
                <w:sz w:val="18"/>
              </w:rPr>
              <w:t>Output</w:t>
            </w:r>
          </w:p>
        </w:tc>
        <w:tc>
          <w:tcPr>
            <w:tcW w:type="dxa" w:w="6236"/>
            <w:shd w:fill="F0F3F7"/>
          </w:tcPr>
          <w:p>
            <w:r/>
            <w:r>
              <w:rPr>
                <w:rFonts w:ascii="Calibri" w:hAnsi="Calibri"/>
                <w:sz w:val="18"/>
              </w:rPr>
              <w:t>4–20 mA, RS-485 Modbus, or 0–10 V</w:t>
            </w:r>
          </w:p>
        </w:tc>
      </w:tr>
    </w:tbl>
    <w:p/>
    <w:p>
      <w:pPr>
        <w:pStyle w:val="Heading4"/>
      </w:pPr>
      <w:r>
        <w:rPr>
          <w:rFonts w:ascii="Calibri" w:hAnsi="Calibri"/>
          <w:color w:val="E65100"/>
          <w:sz w:val="24"/>
        </w:rPr>
        <w:t>6.2.4 Tilt / Inclinometers</w:t>
      </w:r>
    </w:p>
    <w:tbl>
      <w:tblPr>
        <w:tblStyle w:val="TableGrid"/>
        <w:tblW w:type="auto" w:w="0"/>
        <w:jc w:val="center"/>
        <w:tblLook w:firstColumn="1" w:firstRow="1" w:lastColumn="0" w:lastRow="0" w:noHBand="0" w:noVBand="1" w:val="04A0"/>
      </w:tblPr>
      <w:tblGrid>
        <w:gridCol w:w="4536"/>
        <w:gridCol w:w="4536"/>
      </w:tblGrid>
      <w:tr>
        <w:tc>
          <w:tcPr>
            <w:tcW w:type="dxa" w:w="2551"/>
            <w:shd w:fill="1A3C6D"/>
          </w:tcPr>
          <w:p>
            <w:pPr>
              <w:jc w:val="left"/>
            </w:pPr>
            <w:r/>
            <w:r>
              <w:rPr>
                <w:rFonts w:ascii="Calibri" w:hAnsi="Calibri"/>
                <w:b/>
                <w:color w:val="FFFFFF"/>
                <w:sz w:val="18"/>
              </w:rPr>
              <w:t>Parameter</w:t>
            </w:r>
          </w:p>
        </w:tc>
        <w:tc>
          <w:tcPr>
            <w:tcW w:type="dxa" w:w="6236"/>
            <w:shd w:fill="1A3C6D"/>
          </w:tcPr>
          <w:p>
            <w:pPr>
              <w:jc w:val="left"/>
            </w:pPr>
            <w:r/>
            <w:r>
              <w:rPr>
                <w:rFonts w:ascii="Calibri" w:hAnsi="Calibri"/>
                <w:b/>
                <w:color w:val="FFFFFF"/>
                <w:sz w:val="18"/>
              </w:rPr>
              <w:t>Specification</w:t>
            </w:r>
          </w:p>
        </w:tc>
      </w:tr>
      <w:tr>
        <w:tc>
          <w:tcPr>
            <w:tcW w:type="dxa" w:w="2551"/>
          </w:tcPr>
          <w:p>
            <w:r/>
            <w:r>
              <w:rPr>
                <w:rFonts w:ascii="Calibri" w:hAnsi="Calibri"/>
                <w:sz w:val="18"/>
              </w:rPr>
              <w:t>Type</w:t>
            </w:r>
          </w:p>
        </w:tc>
        <w:tc>
          <w:tcPr>
            <w:tcW w:type="dxa" w:w="6236"/>
          </w:tcPr>
          <w:p>
            <w:r/>
            <w:r>
              <w:rPr>
                <w:rFonts w:ascii="Calibri" w:hAnsi="Calibri"/>
                <w:sz w:val="18"/>
              </w:rPr>
              <w:t>MEMS electrolytic or servo</w:t>
            </w:r>
          </w:p>
        </w:tc>
      </w:tr>
      <w:tr>
        <w:tc>
          <w:tcPr>
            <w:tcW w:type="dxa" w:w="2551"/>
            <w:shd w:fill="F0F3F7"/>
          </w:tcPr>
          <w:p>
            <w:r/>
            <w:r>
              <w:rPr>
                <w:rFonts w:ascii="Calibri" w:hAnsi="Calibri"/>
                <w:sz w:val="18"/>
              </w:rPr>
              <w:t>Range</w:t>
            </w:r>
          </w:p>
        </w:tc>
        <w:tc>
          <w:tcPr>
            <w:tcW w:type="dxa" w:w="6236"/>
            <w:shd w:fill="F0F3F7"/>
          </w:tcPr>
          <w:p>
            <w:r/>
            <w:r>
              <w:rPr>
                <w:rFonts w:ascii="Calibri" w:hAnsi="Calibri"/>
                <w:sz w:val="18"/>
              </w:rPr>
              <w:t>±15° (biaxial)</w:t>
            </w:r>
          </w:p>
        </w:tc>
      </w:tr>
      <w:tr>
        <w:tc>
          <w:tcPr>
            <w:tcW w:type="dxa" w:w="2551"/>
          </w:tcPr>
          <w:p>
            <w:r/>
            <w:r>
              <w:rPr>
                <w:rFonts w:ascii="Calibri" w:hAnsi="Calibri"/>
                <w:sz w:val="18"/>
              </w:rPr>
              <w:t>Resolution</w:t>
            </w:r>
          </w:p>
        </w:tc>
        <w:tc>
          <w:tcPr>
            <w:tcW w:type="dxa" w:w="6236"/>
          </w:tcPr>
          <w:p>
            <w:r/>
            <w:r>
              <w:rPr>
                <w:rFonts w:ascii="Calibri" w:hAnsi="Calibri"/>
                <w:sz w:val="18"/>
              </w:rPr>
              <w:t>≤ 0.001° (3.6 arc-seconds)</w:t>
            </w:r>
          </w:p>
        </w:tc>
      </w:tr>
      <w:tr>
        <w:tc>
          <w:tcPr>
            <w:tcW w:type="dxa" w:w="2551"/>
            <w:shd w:fill="F0F3F7"/>
          </w:tcPr>
          <w:p>
            <w:r/>
            <w:r>
              <w:rPr>
                <w:rFonts w:ascii="Calibri" w:hAnsi="Calibri"/>
                <w:sz w:val="18"/>
              </w:rPr>
              <w:t>Temperature Compensation</w:t>
            </w:r>
          </w:p>
        </w:tc>
        <w:tc>
          <w:tcPr>
            <w:tcW w:type="dxa" w:w="6236"/>
            <w:shd w:fill="F0F3F7"/>
          </w:tcPr>
          <w:p>
            <w:r/>
            <w:r>
              <w:rPr>
                <w:rFonts w:ascii="Calibri" w:hAnsi="Calibri"/>
                <w:sz w:val="18"/>
              </w:rPr>
              <w:t>Built-in, −20 to +70 °C</w:t>
            </w:r>
          </w:p>
        </w:tc>
      </w:tr>
      <w:tr>
        <w:tc>
          <w:tcPr>
            <w:tcW w:type="dxa" w:w="2551"/>
          </w:tcPr>
          <w:p>
            <w:r/>
            <w:r>
              <w:rPr>
                <w:rFonts w:ascii="Calibri" w:hAnsi="Calibri"/>
                <w:sz w:val="18"/>
              </w:rPr>
              <w:t>Output</w:t>
            </w:r>
          </w:p>
        </w:tc>
        <w:tc>
          <w:tcPr>
            <w:tcW w:type="dxa" w:w="6236"/>
          </w:tcPr>
          <w:p>
            <w:r/>
            <w:r>
              <w:rPr>
                <w:rFonts w:ascii="Calibri" w:hAnsi="Calibri"/>
                <w:sz w:val="18"/>
              </w:rPr>
              <w:t>RS-485 (Modbus RTU) or 4–20 mA</w:t>
            </w:r>
          </w:p>
        </w:tc>
      </w:tr>
    </w:tbl>
    <w:p/>
    <w:p>
      <w:pPr>
        <w:pStyle w:val="Heading4"/>
      </w:pPr>
      <w:r>
        <w:rPr>
          <w:rFonts w:ascii="Calibri" w:hAnsi="Calibri"/>
          <w:color w:val="E65100"/>
          <w:sz w:val="24"/>
        </w:rPr>
        <w:t>6.2.5 Temperature Sensors</w:t>
      </w:r>
    </w:p>
    <w:tbl>
      <w:tblPr>
        <w:tblStyle w:val="TableGrid"/>
        <w:tblW w:type="auto" w:w="0"/>
        <w:jc w:val="center"/>
        <w:tblLook w:firstColumn="1" w:firstRow="1" w:lastColumn="0" w:lastRow="0" w:noHBand="0" w:noVBand="1" w:val="04A0"/>
      </w:tblPr>
      <w:tblGrid>
        <w:gridCol w:w="4536"/>
        <w:gridCol w:w="4536"/>
      </w:tblGrid>
      <w:tr>
        <w:tc>
          <w:tcPr>
            <w:tcW w:type="dxa" w:w="2551"/>
            <w:shd w:fill="1A3C6D"/>
          </w:tcPr>
          <w:p>
            <w:pPr>
              <w:jc w:val="left"/>
            </w:pPr>
            <w:r/>
            <w:r>
              <w:rPr>
                <w:rFonts w:ascii="Calibri" w:hAnsi="Calibri"/>
                <w:b/>
                <w:color w:val="FFFFFF"/>
                <w:sz w:val="18"/>
              </w:rPr>
              <w:t>Parameter</w:t>
            </w:r>
          </w:p>
        </w:tc>
        <w:tc>
          <w:tcPr>
            <w:tcW w:type="dxa" w:w="6236"/>
            <w:shd w:fill="1A3C6D"/>
          </w:tcPr>
          <w:p>
            <w:pPr>
              <w:jc w:val="left"/>
            </w:pPr>
            <w:r/>
            <w:r>
              <w:rPr>
                <w:rFonts w:ascii="Calibri" w:hAnsi="Calibri"/>
                <w:b/>
                <w:color w:val="FFFFFF"/>
                <w:sz w:val="18"/>
              </w:rPr>
              <w:t>Specification</w:t>
            </w:r>
          </w:p>
        </w:tc>
      </w:tr>
      <w:tr>
        <w:tc>
          <w:tcPr>
            <w:tcW w:type="dxa" w:w="2551"/>
          </w:tcPr>
          <w:p>
            <w:r/>
            <w:r>
              <w:rPr>
                <w:rFonts w:ascii="Calibri" w:hAnsi="Calibri"/>
                <w:sz w:val="18"/>
              </w:rPr>
              <w:t>Type</w:t>
            </w:r>
          </w:p>
        </w:tc>
        <w:tc>
          <w:tcPr>
            <w:tcW w:type="dxa" w:w="6236"/>
          </w:tcPr>
          <w:p>
            <w:r/>
            <w:r>
              <w:rPr>
                <w:rFonts w:ascii="Calibri" w:hAnsi="Calibri"/>
                <w:sz w:val="18"/>
              </w:rPr>
              <w:t>Pt100 (Class A per IEC 60751) or thermistor (NTC 10 kΩ)</w:t>
            </w:r>
          </w:p>
        </w:tc>
      </w:tr>
      <w:tr>
        <w:tc>
          <w:tcPr>
            <w:tcW w:type="dxa" w:w="2551"/>
            <w:shd w:fill="F0F3F7"/>
          </w:tcPr>
          <w:p>
            <w:r/>
            <w:r>
              <w:rPr>
                <w:rFonts w:ascii="Calibri" w:hAnsi="Calibri"/>
                <w:sz w:val="18"/>
              </w:rPr>
              <w:t>Range</w:t>
            </w:r>
          </w:p>
        </w:tc>
        <w:tc>
          <w:tcPr>
            <w:tcW w:type="dxa" w:w="6236"/>
            <w:shd w:fill="F0F3F7"/>
          </w:tcPr>
          <w:p>
            <w:r/>
            <w:r>
              <w:rPr>
                <w:rFonts w:ascii="Calibri" w:hAnsi="Calibri"/>
                <w:sz w:val="18"/>
              </w:rPr>
              <w:t>−30 to +80 °C</w:t>
            </w:r>
          </w:p>
        </w:tc>
      </w:tr>
      <w:tr>
        <w:tc>
          <w:tcPr>
            <w:tcW w:type="dxa" w:w="2551"/>
          </w:tcPr>
          <w:p>
            <w:r/>
            <w:r>
              <w:rPr>
                <w:rFonts w:ascii="Calibri" w:hAnsi="Calibri"/>
                <w:sz w:val="18"/>
              </w:rPr>
              <w:t>Accuracy</w:t>
            </w:r>
          </w:p>
        </w:tc>
        <w:tc>
          <w:tcPr>
            <w:tcW w:type="dxa" w:w="6236"/>
          </w:tcPr>
          <w:p>
            <w:r/>
            <w:r>
              <w:rPr>
                <w:rFonts w:ascii="Calibri" w:hAnsi="Calibri"/>
                <w:sz w:val="18"/>
              </w:rPr>
              <w:t>±0.15 °C (Pt100 Class A)</w:t>
            </w:r>
          </w:p>
        </w:tc>
      </w:tr>
      <w:tr>
        <w:tc>
          <w:tcPr>
            <w:tcW w:type="dxa" w:w="2551"/>
            <w:shd w:fill="F0F3F7"/>
          </w:tcPr>
          <w:p>
            <w:r/>
            <w:r>
              <w:rPr>
                <w:rFonts w:ascii="Calibri" w:hAnsi="Calibri"/>
                <w:sz w:val="18"/>
              </w:rPr>
              <w:t>Placement</w:t>
            </w:r>
          </w:p>
        </w:tc>
        <w:tc>
          <w:tcPr>
            <w:tcW w:type="dxa" w:w="6236"/>
            <w:shd w:fill="F0F3F7"/>
          </w:tcPr>
          <w:p>
            <w:r/>
            <w:r>
              <w:rPr>
                <w:rFonts w:ascii="Calibri" w:hAnsi="Calibri"/>
                <w:sz w:val="18"/>
              </w:rPr>
              <w:t>Ambient (shaded, ventilated), deck surface, soffit, inside box girder, at least 3 depths in concrete cross-section for thermal gradient</w:t>
            </w:r>
          </w:p>
        </w:tc>
      </w:tr>
    </w:tbl>
    <w:p/>
    <w:p>
      <w:pPr>
        <w:pStyle w:val="Heading4"/>
      </w:pPr>
      <w:r>
        <w:rPr>
          <w:rFonts w:ascii="Calibri" w:hAnsi="Calibri"/>
          <w:color w:val="E65100"/>
          <w:sz w:val="24"/>
        </w:rPr>
        <w:t>6.2.6 Corrosion Sensors</w:t>
      </w:r>
    </w:p>
    <w:tbl>
      <w:tblPr>
        <w:tblStyle w:val="TableGrid"/>
        <w:tblW w:type="auto" w:w="0"/>
        <w:jc w:val="center"/>
        <w:tblLook w:firstColumn="1" w:firstRow="1" w:lastColumn="0" w:lastRow="0" w:noHBand="0" w:noVBand="1" w:val="04A0"/>
      </w:tblPr>
      <w:tblGrid>
        <w:gridCol w:w="4536"/>
        <w:gridCol w:w="4536"/>
      </w:tblGrid>
      <w:tr>
        <w:tc>
          <w:tcPr>
            <w:tcW w:type="dxa" w:w="2551"/>
            <w:shd w:fill="1A3C6D"/>
          </w:tcPr>
          <w:p>
            <w:pPr>
              <w:jc w:val="left"/>
            </w:pPr>
            <w:r/>
            <w:r>
              <w:rPr>
                <w:rFonts w:ascii="Calibri" w:hAnsi="Calibri"/>
                <w:b/>
                <w:color w:val="FFFFFF"/>
                <w:sz w:val="18"/>
              </w:rPr>
              <w:t>Parameter</w:t>
            </w:r>
          </w:p>
        </w:tc>
        <w:tc>
          <w:tcPr>
            <w:tcW w:type="dxa" w:w="6236"/>
            <w:shd w:fill="1A3C6D"/>
          </w:tcPr>
          <w:p>
            <w:pPr>
              <w:jc w:val="left"/>
            </w:pPr>
            <w:r/>
            <w:r>
              <w:rPr>
                <w:rFonts w:ascii="Calibri" w:hAnsi="Calibri"/>
                <w:b/>
                <w:color w:val="FFFFFF"/>
                <w:sz w:val="18"/>
              </w:rPr>
              <w:t>Specification</w:t>
            </w:r>
          </w:p>
        </w:tc>
      </w:tr>
      <w:tr>
        <w:tc>
          <w:tcPr>
            <w:tcW w:type="dxa" w:w="2551"/>
          </w:tcPr>
          <w:p>
            <w:r/>
            <w:r>
              <w:rPr>
                <w:rFonts w:ascii="Calibri" w:hAnsi="Calibri"/>
                <w:sz w:val="18"/>
              </w:rPr>
              <w:t>Type</w:t>
            </w:r>
          </w:p>
        </w:tc>
        <w:tc>
          <w:tcPr>
            <w:tcW w:type="dxa" w:w="6236"/>
          </w:tcPr>
          <w:p>
            <w:r/>
            <w:r>
              <w:rPr>
                <w:rFonts w:ascii="Calibri" w:hAnsi="Calibri"/>
                <w:sz w:val="18"/>
              </w:rPr>
              <w:t>Half-cell potential probes, linear polarisation resistance (LPR), electrical resistivity</w:t>
            </w:r>
          </w:p>
        </w:tc>
      </w:tr>
      <w:tr>
        <w:tc>
          <w:tcPr>
            <w:tcW w:type="dxa" w:w="2551"/>
            <w:shd w:fill="F0F3F7"/>
          </w:tcPr>
          <w:p>
            <w:r/>
            <w:r>
              <w:rPr>
                <w:rFonts w:ascii="Calibri" w:hAnsi="Calibri"/>
                <w:sz w:val="18"/>
              </w:rPr>
              <w:t>Measured Parameter</w:t>
            </w:r>
          </w:p>
        </w:tc>
        <w:tc>
          <w:tcPr>
            <w:tcW w:type="dxa" w:w="6236"/>
            <w:shd w:fill="F0F3F7"/>
          </w:tcPr>
          <w:p>
            <w:r/>
            <w:r>
              <w:rPr>
                <w:rFonts w:ascii="Calibri" w:hAnsi="Calibri"/>
                <w:sz w:val="18"/>
              </w:rPr>
              <w:t>Corrosion potential (mV vs. Cu/CuSO₄), corrosion rate (µm/year), concrete resistivity (kΩ-cm)</w:t>
            </w:r>
          </w:p>
        </w:tc>
      </w:tr>
      <w:tr>
        <w:tc>
          <w:tcPr>
            <w:tcW w:type="dxa" w:w="2551"/>
          </w:tcPr>
          <w:p>
            <w:r/>
            <w:r>
              <w:rPr>
                <w:rFonts w:ascii="Calibri" w:hAnsi="Calibri"/>
                <w:sz w:val="18"/>
              </w:rPr>
              <w:t>Threshold (Alert)</w:t>
            </w:r>
          </w:p>
        </w:tc>
        <w:tc>
          <w:tcPr>
            <w:tcW w:type="dxa" w:w="6236"/>
          </w:tcPr>
          <w:p>
            <w:r/>
            <w:r>
              <w:rPr>
                <w:rFonts w:ascii="Calibri" w:hAnsi="Calibri"/>
                <w:sz w:val="18"/>
              </w:rPr>
              <w:t>Potential &lt; −350 mV; Resistivity &lt; 10 kΩ-cm; Corrosion rate &gt; 10 µm/year</w:t>
            </w:r>
          </w:p>
        </w:tc>
      </w:tr>
    </w:tbl>
    <w:p/>
    <w:p>
      <w:pPr>
        <w:pStyle w:val="Heading4"/>
      </w:pPr>
      <w:r>
        <w:rPr>
          <w:rFonts w:ascii="Calibri" w:hAnsi="Calibri"/>
          <w:color w:val="E65100"/>
          <w:sz w:val="24"/>
        </w:rPr>
        <w:t>6.2.7 Scour Monitoring</w:t>
      </w:r>
    </w:p>
    <w:tbl>
      <w:tblPr>
        <w:tblStyle w:val="TableGrid"/>
        <w:tblW w:type="auto" w:w="0"/>
        <w:jc w:val="center"/>
        <w:tblLook w:firstColumn="1" w:firstRow="1" w:lastColumn="0" w:lastRow="0" w:noHBand="0" w:noVBand="1" w:val="04A0"/>
      </w:tblPr>
      <w:tblGrid>
        <w:gridCol w:w="4536"/>
        <w:gridCol w:w="4536"/>
      </w:tblGrid>
      <w:tr>
        <w:tc>
          <w:tcPr>
            <w:tcW w:type="dxa" w:w="2551"/>
            <w:shd w:fill="1A3C6D"/>
          </w:tcPr>
          <w:p>
            <w:pPr>
              <w:jc w:val="left"/>
            </w:pPr>
            <w:r/>
            <w:r>
              <w:rPr>
                <w:rFonts w:ascii="Calibri" w:hAnsi="Calibri"/>
                <w:b/>
                <w:color w:val="FFFFFF"/>
                <w:sz w:val="18"/>
              </w:rPr>
              <w:t>Parameter</w:t>
            </w:r>
          </w:p>
        </w:tc>
        <w:tc>
          <w:tcPr>
            <w:tcW w:type="dxa" w:w="6236"/>
            <w:shd w:fill="1A3C6D"/>
          </w:tcPr>
          <w:p>
            <w:pPr>
              <w:jc w:val="left"/>
            </w:pPr>
            <w:r/>
            <w:r>
              <w:rPr>
                <w:rFonts w:ascii="Calibri" w:hAnsi="Calibri"/>
                <w:b/>
                <w:color w:val="FFFFFF"/>
                <w:sz w:val="18"/>
              </w:rPr>
              <w:t>Specification</w:t>
            </w:r>
          </w:p>
        </w:tc>
      </w:tr>
      <w:tr>
        <w:tc>
          <w:tcPr>
            <w:tcW w:type="dxa" w:w="2551"/>
          </w:tcPr>
          <w:p>
            <w:r/>
            <w:r>
              <w:rPr>
                <w:rFonts w:ascii="Calibri" w:hAnsi="Calibri"/>
                <w:sz w:val="18"/>
              </w:rPr>
              <w:t>Technology</w:t>
            </w:r>
          </w:p>
        </w:tc>
        <w:tc>
          <w:tcPr>
            <w:tcW w:type="dxa" w:w="6236"/>
          </w:tcPr>
          <w:p>
            <w:r/>
            <w:r>
              <w:rPr>
                <w:rFonts w:ascii="Calibri" w:hAnsi="Calibri"/>
                <w:sz w:val="18"/>
              </w:rPr>
              <w:t>Sonar (single/multi-beam), float-out device, or time-domain reflectometry (TDR)</w:t>
            </w:r>
          </w:p>
        </w:tc>
      </w:tr>
      <w:tr>
        <w:tc>
          <w:tcPr>
            <w:tcW w:type="dxa" w:w="2551"/>
            <w:shd w:fill="F0F3F7"/>
          </w:tcPr>
          <w:p>
            <w:r/>
            <w:r>
              <w:rPr>
                <w:rFonts w:ascii="Calibri" w:hAnsi="Calibri"/>
                <w:sz w:val="18"/>
              </w:rPr>
              <w:t>Range</w:t>
            </w:r>
          </w:p>
        </w:tc>
        <w:tc>
          <w:tcPr>
            <w:tcW w:type="dxa" w:w="6236"/>
            <w:shd w:fill="F0F3F7"/>
          </w:tcPr>
          <w:p>
            <w:r/>
            <w:r>
              <w:rPr>
                <w:rFonts w:ascii="Calibri" w:hAnsi="Calibri"/>
                <w:sz w:val="18"/>
              </w:rPr>
              <w:t>0–20 m below riverbed</w:t>
            </w:r>
          </w:p>
        </w:tc>
      </w:tr>
      <w:tr>
        <w:tc>
          <w:tcPr>
            <w:tcW w:type="dxa" w:w="2551"/>
          </w:tcPr>
          <w:p>
            <w:r/>
            <w:r>
              <w:rPr>
                <w:rFonts w:ascii="Calibri" w:hAnsi="Calibri"/>
                <w:sz w:val="18"/>
              </w:rPr>
              <w:t>Accuracy</w:t>
            </w:r>
          </w:p>
        </w:tc>
        <w:tc>
          <w:tcPr>
            <w:tcW w:type="dxa" w:w="6236"/>
          </w:tcPr>
          <w:p>
            <w:r/>
            <w:r>
              <w:rPr>
                <w:rFonts w:ascii="Calibri" w:hAnsi="Calibri"/>
                <w:sz w:val="18"/>
              </w:rPr>
              <w:t>±0.3 m (sonar)</w:t>
            </w:r>
          </w:p>
        </w:tc>
      </w:tr>
      <w:tr>
        <w:tc>
          <w:tcPr>
            <w:tcW w:type="dxa" w:w="2551"/>
            <w:shd w:fill="F0F3F7"/>
          </w:tcPr>
          <w:p>
            <w:r/>
            <w:r>
              <w:rPr>
                <w:rFonts w:ascii="Calibri" w:hAnsi="Calibri"/>
                <w:sz w:val="18"/>
              </w:rPr>
              <w:t>Reporting Interval</w:t>
            </w:r>
          </w:p>
        </w:tc>
        <w:tc>
          <w:tcPr>
            <w:tcW w:type="dxa" w:w="6236"/>
            <w:shd w:fill="F0F3F7"/>
          </w:tcPr>
          <w:p>
            <w:r/>
            <w:r>
              <w:rPr>
                <w:rFonts w:ascii="Calibri" w:hAnsi="Calibri"/>
                <w:sz w:val="18"/>
              </w:rPr>
              <w:t>Continuous during monsoon; hourly otherwise</w:t>
            </w:r>
          </w:p>
        </w:tc>
      </w:tr>
    </w:tbl>
    <w:p/>
    <w:p>
      <w:pPr>
        <w:pStyle w:val="Heading4"/>
      </w:pPr>
      <w:r>
        <w:rPr>
          <w:rFonts w:ascii="Calibri" w:hAnsi="Calibri"/>
          <w:color w:val="E65100"/>
          <w:sz w:val="24"/>
        </w:rPr>
        <w:t>6.2.8 GNSS / Geodetic Monitoring</w:t>
      </w:r>
    </w:p>
    <w:tbl>
      <w:tblPr>
        <w:tblStyle w:val="TableGrid"/>
        <w:tblW w:type="auto" w:w="0"/>
        <w:jc w:val="center"/>
        <w:tblLook w:firstColumn="1" w:firstRow="1" w:lastColumn="0" w:lastRow="0" w:noHBand="0" w:noVBand="1" w:val="04A0"/>
      </w:tblPr>
      <w:tblGrid>
        <w:gridCol w:w="4536"/>
        <w:gridCol w:w="4536"/>
      </w:tblGrid>
      <w:tr>
        <w:tc>
          <w:tcPr>
            <w:tcW w:type="dxa" w:w="2551"/>
            <w:shd w:fill="1A3C6D"/>
          </w:tcPr>
          <w:p>
            <w:pPr>
              <w:jc w:val="left"/>
            </w:pPr>
            <w:r/>
            <w:r>
              <w:rPr>
                <w:rFonts w:ascii="Calibri" w:hAnsi="Calibri"/>
                <w:b/>
                <w:color w:val="FFFFFF"/>
                <w:sz w:val="18"/>
              </w:rPr>
              <w:t>Parameter</w:t>
            </w:r>
          </w:p>
        </w:tc>
        <w:tc>
          <w:tcPr>
            <w:tcW w:type="dxa" w:w="6236"/>
            <w:shd w:fill="1A3C6D"/>
          </w:tcPr>
          <w:p>
            <w:pPr>
              <w:jc w:val="left"/>
            </w:pPr>
            <w:r/>
            <w:r>
              <w:rPr>
                <w:rFonts w:ascii="Calibri" w:hAnsi="Calibri"/>
                <w:b/>
                <w:color w:val="FFFFFF"/>
                <w:sz w:val="18"/>
              </w:rPr>
              <w:t>Specification</w:t>
            </w:r>
          </w:p>
        </w:tc>
      </w:tr>
      <w:tr>
        <w:tc>
          <w:tcPr>
            <w:tcW w:type="dxa" w:w="2551"/>
          </w:tcPr>
          <w:p>
            <w:r/>
            <w:r>
              <w:rPr>
                <w:rFonts w:ascii="Calibri" w:hAnsi="Calibri"/>
                <w:sz w:val="18"/>
              </w:rPr>
              <w:t>Type</w:t>
            </w:r>
          </w:p>
        </w:tc>
        <w:tc>
          <w:tcPr>
            <w:tcW w:type="dxa" w:w="6236"/>
          </w:tcPr>
          <w:p>
            <w:r/>
            <w:r>
              <w:rPr>
                <w:rFonts w:ascii="Calibri" w:hAnsi="Calibri"/>
                <w:sz w:val="18"/>
              </w:rPr>
              <w:t>Multi-constellation (GPS + GLONASS + NavIC + Galileo) L1/L2</w:t>
            </w:r>
          </w:p>
        </w:tc>
      </w:tr>
      <w:tr>
        <w:tc>
          <w:tcPr>
            <w:tcW w:type="dxa" w:w="2551"/>
            <w:shd w:fill="F0F3F7"/>
          </w:tcPr>
          <w:p>
            <w:r/>
            <w:r>
              <w:rPr>
                <w:rFonts w:ascii="Calibri" w:hAnsi="Calibri"/>
                <w:sz w:val="18"/>
              </w:rPr>
              <w:t>Horizontal Accuracy</w:t>
            </w:r>
          </w:p>
        </w:tc>
        <w:tc>
          <w:tcPr>
            <w:tcW w:type="dxa" w:w="6236"/>
            <w:shd w:fill="F0F3F7"/>
          </w:tcPr>
          <w:p>
            <w:r/>
            <w:r>
              <w:rPr>
                <w:rFonts w:ascii="Calibri" w:hAnsi="Calibri"/>
                <w:sz w:val="18"/>
              </w:rPr>
              <w:t>±5 mm + 1 ppm (static, post-processed)</w:t>
            </w:r>
          </w:p>
        </w:tc>
      </w:tr>
      <w:tr>
        <w:tc>
          <w:tcPr>
            <w:tcW w:type="dxa" w:w="2551"/>
          </w:tcPr>
          <w:p>
            <w:r/>
            <w:r>
              <w:rPr>
                <w:rFonts w:ascii="Calibri" w:hAnsi="Calibri"/>
                <w:sz w:val="18"/>
              </w:rPr>
              <w:t>Vertical Accuracy</w:t>
            </w:r>
          </w:p>
        </w:tc>
        <w:tc>
          <w:tcPr>
            <w:tcW w:type="dxa" w:w="6236"/>
          </w:tcPr>
          <w:p>
            <w:r/>
            <w:r>
              <w:rPr>
                <w:rFonts w:ascii="Calibri" w:hAnsi="Calibri"/>
                <w:sz w:val="18"/>
              </w:rPr>
              <w:t>±8 mm + 1 ppm</w:t>
            </w:r>
          </w:p>
        </w:tc>
      </w:tr>
      <w:tr>
        <w:tc>
          <w:tcPr>
            <w:tcW w:type="dxa" w:w="2551"/>
            <w:shd w:fill="F0F3F7"/>
          </w:tcPr>
          <w:p>
            <w:r/>
            <w:r>
              <w:rPr>
                <w:rFonts w:ascii="Calibri" w:hAnsi="Calibri"/>
                <w:sz w:val="18"/>
              </w:rPr>
              <w:t>Update Rate</w:t>
            </w:r>
          </w:p>
        </w:tc>
        <w:tc>
          <w:tcPr>
            <w:tcW w:type="dxa" w:w="6236"/>
            <w:shd w:fill="F0F3F7"/>
          </w:tcPr>
          <w:p>
            <w:r/>
            <w:r>
              <w:rPr>
                <w:rFonts w:ascii="Calibri" w:hAnsi="Calibri"/>
                <w:sz w:val="18"/>
              </w:rPr>
              <w:t>1 Hz (real-time); 20 Hz for dynamic monitoring</w:t>
            </w:r>
          </w:p>
        </w:tc>
      </w:tr>
      <w:tr>
        <w:tc>
          <w:tcPr>
            <w:tcW w:type="dxa" w:w="2551"/>
          </w:tcPr>
          <w:p>
            <w:r/>
            <w:r>
              <w:rPr>
                <w:rFonts w:ascii="Calibri" w:hAnsi="Calibri"/>
                <w:sz w:val="18"/>
              </w:rPr>
              <w:t>Reference Station</w:t>
            </w:r>
          </w:p>
        </w:tc>
        <w:tc>
          <w:tcPr>
            <w:tcW w:type="dxa" w:w="6236"/>
          </w:tcPr>
          <w:p>
            <w:r/>
            <w:r>
              <w:rPr>
                <w:rFonts w:ascii="Calibri" w:hAnsi="Calibri"/>
                <w:sz w:val="18"/>
              </w:rPr>
              <w:t>One stable reference within 5 km of bridge</w:t>
            </w:r>
          </w:p>
        </w:tc>
      </w:tr>
    </w:tbl>
    <w:p/>
    <w:p>
      <w:pPr>
        <w:pStyle w:val="Heading4"/>
      </w:pPr>
      <w:r>
        <w:rPr>
          <w:rFonts w:ascii="Calibri" w:hAnsi="Calibri"/>
          <w:color w:val="E65100"/>
          <w:sz w:val="24"/>
        </w:rPr>
        <w:t>6.2.9 Weather Station</w:t>
      </w:r>
    </w:p>
    <w:tbl>
      <w:tblPr>
        <w:tblStyle w:val="TableGrid"/>
        <w:tblW w:type="auto" w:w="0"/>
        <w:jc w:val="center"/>
        <w:tblLook w:firstColumn="1" w:firstRow="1" w:lastColumn="0" w:lastRow="0" w:noHBand="0" w:noVBand="1" w:val="04A0"/>
      </w:tblPr>
      <w:tblGrid>
        <w:gridCol w:w="4536"/>
        <w:gridCol w:w="4536"/>
      </w:tblGrid>
      <w:tr>
        <w:tc>
          <w:tcPr>
            <w:tcW w:type="dxa" w:w="2551"/>
            <w:shd w:fill="1A3C6D"/>
          </w:tcPr>
          <w:p>
            <w:pPr>
              <w:jc w:val="left"/>
            </w:pPr>
            <w:r/>
            <w:r>
              <w:rPr>
                <w:rFonts w:ascii="Calibri" w:hAnsi="Calibri"/>
                <w:b/>
                <w:color w:val="FFFFFF"/>
                <w:sz w:val="18"/>
              </w:rPr>
              <w:t>Parameter</w:t>
            </w:r>
          </w:p>
        </w:tc>
        <w:tc>
          <w:tcPr>
            <w:tcW w:type="dxa" w:w="6236"/>
            <w:shd w:fill="1A3C6D"/>
          </w:tcPr>
          <w:p>
            <w:pPr>
              <w:jc w:val="left"/>
            </w:pPr>
            <w:r/>
            <w:r>
              <w:rPr>
                <w:rFonts w:ascii="Calibri" w:hAnsi="Calibri"/>
                <w:b/>
                <w:color w:val="FFFFFF"/>
                <w:sz w:val="18"/>
              </w:rPr>
              <w:t>Specification</w:t>
            </w:r>
          </w:p>
        </w:tc>
      </w:tr>
      <w:tr>
        <w:tc>
          <w:tcPr>
            <w:tcW w:type="dxa" w:w="2551"/>
          </w:tcPr>
          <w:p>
            <w:r/>
            <w:r>
              <w:rPr>
                <w:rFonts w:ascii="Calibri" w:hAnsi="Calibri"/>
                <w:sz w:val="18"/>
              </w:rPr>
              <w:t>Wind Speed</w:t>
            </w:r>
          </w:p>
        </w:tc>
        <w:tc>
          <w:tcPr>
            <w:tcW w:type="dxa" w:w="6236"/>
          </w:tcPr>
          <w:p>
            <w:r/>
            <w:r>
              <w:rPr>
                <w:rFonts w:ascii="Calibri" w:hAnsi="Calibri"/>
                <w:sz w:val="18"/>
              </w:rPr>
              <w:t>Ultrasonic anemometer: 0–75 m/s, ±0.2 m/s accuracy, gust to 3 s</w:t>
            </w:r>
          </w:p>
        </w:tc>
      </w:tr>
      <w:tr>
        <w:tc>
          <w:tcPr>
            <w:tcW w:type="dxa" w:w="2551"/>
            <w:shd w:fill="F0F3F7"/>
          </w:tcPr>
          <w:p>
            <w:r/>
            <w:r>
              <w:rPr>
                <w:rFonts w:ascii="Calibri" w:hAnsi="Calibri"/>
                <w:sz w:val="18"/>
              </w:rPr>
              <w:t>Wind Direction</w:t>
            </w:r>
          </w:p>
        </w:tc>
        <w:tc>
          <w:tcPr>
            <w:tcW w:type="dxa" w:w="6236"/>
            <w:shd w:fill="F0F3F7"/>
          </w:tcPr>
          <w:p>
            <w:r/>
            <w:r>
              <w:rPr>
                <w:rFonts w:ascii="Calibri" w:hAnsi="Calibri"/>
                <w:sz w:val="18"/>
              </w:rPr>
              <w:t>0–360°, ±3°</w:t>
            </w:r>
          </w:p>
        </w:tc>
      </w:tr>
      <w:tr>
        <w:tc>
          <w:tcPr>
            <w:tcW w:type="dxa" w:w="2551"/>
          </w:tcPr>
          <w:p>
            <w:r/>
            <w:r>
              <w:rPr>
                <w:rFonts w:ascii="Calibri" w:hAnsi="Calibri"/>
                <w:sz w:val="18"/>
              </w:rPr>
              <w:t>Air Temperature</w:t>
            </w:r>
          </w:p>
        </w:tc>
        <w:tc>
          <w:tcPr>
            <w:tcW w:type="dxa" w:w="6236"/>
          </w:tcPr>
          <w:p>
            <w:r/>
            <w:r>
              <w:rPr>
                <w:rFonts w:ascii="Calibri" w:hAnsi="Calibri"/>
                <w:sz w:val="18"/>
              </w:rPr>
              <w:t>−30 to +70 °C, ±0.1 °C</w:t>
            </w:r>
          </w:p>
        </w:tc>
      </w:tr>
      <w:tr>
        <w:tc>
          <w:tcPr>
            <w:tcW w:type="dxa" w:w="2551"/>
            <w:shd w:fill="F0F3F7"/>
          </w:tcPr>
          <w:p>
            <w:r/>
            <w:r>
              <w:rPr>
                <w:rFonts w:ascii="Calibri" w:hAnsi="Calibri"/>
                <w:sz w:val="18"/>
              </w:rPr>
              <w:t>Relative Humidity</w:t>
            </w:r>
          </w:p>
        </w:tc>
        <w:tc>
          <w:tcPr>
            <w:tcW w:type="dxa" w:w="6236"/>
            <w:shd w:fill="F0F3F7"/>
          </w:tcPr>
          <w:p>
            <w:r/>
            <w:r>
              <w:rPr>
                <w:rFonts w:ascii="Calibri" w:hAnsi="Calibri"/>
                <w:sz w:val="18"/>
              </w:rPr>
              <w:t>0–100% RH, ±2%</w:t>
            </w:r>
          </w:p>
        </w:tc>
      </w:tr>
      <w:tr>
        <w:tc>
          <w:tcPr>
            <w:tcW w:type="dxa" w:w="2551"/>
          </w:tcPr>
          <w:p>
            <w:r/>
            <w:r>
              <w:rPr>
                <w:rFonts w:ascii="Calibri" w:hAnsi="Calibri"/>
                <w:sz w:val="18"/>
              </w:rPr>
              <w:t>Barometric Pressure</w:t>
            </w:r>
          </w:p>
        </w:tc>
        <w:tc>
          <w:tcPr>
            <w:tcW w:type="dxa" w:w="6236"/>
          </w:tcPr>
          <w:p>
            <w:r/>
            <w:r>
              <w:rPr>
                <w:rFonts w:ascii="Calibri" w:hAnsi="Calibri"/>
                <w:sz w:val="18"/>
              </w:rPr>
              <w:t>300–1100 hPa, ±0.5 hPa</w:t>
            </w:r>
          </w:p>
        </w:tc>
      </w:tr>
      <w:tr>
        <w:tc>
          <w:tcPr>
            <w:tcW w:type="dxa" w:w="2551"/>
            <w:shd w:fill="F0F3F7"/>
          </w:tcPr>
          <w:p>
            <w:r/>
            <w:r>
              <w:rPr>
                <w:rFonts w:ascii="Calibri" w:hAnsi="Calibri"/>
                <w:sz w:val="18"/>
              </w:rPr>
              <w:t>Rain Gauge</w:t>
            </w:r>
          </w:p>
        </w:tc>
        <w:tc>
          <w:tcPr>
            <w:tcW w:type="dxa" w:w="6236"/>
            <w:shd w:fill="F0F3F7"/>
          </w:tcPr>
          <w:p>
            <w:r/>
            <w:r>
              <w:rPr>
                <w:rFonts w:ascii="Calibri" w:hAnsi="Calibri"/>
                <w:sz w:val="18"/>
              </w:rPr>
              <w:t>Tipping bucket: 0.2 mm resolution, 0–500 mm/h</w:t>
            </w:r>
          </w:p>
        </w:tc>
      </w:tr>
      <w:tr>
        <w:tc>
          <w:tcPr>
            <w:tcW w:type="dxa" w:w="2551"/>
          </w:tcPr>
          <w:p>
            <w:r/>
            <w:r>
              <w:rPr>
                <w:rFonts w:ascii="Calibri" w:hAnsi="Calibri"/>
                <w:sz w:val="18"/>
              </w:rPr>
              <w:t>Solar Radiation</w:t>
            </w:r>
          </w:p>
        </w:tc>
        <w:tc>
          <w:tcPr>
            <w:tcW w:type="dxa" w:w="6236"/>
          </w:tcPr>
          <w:p>
            <w:r/>
            <w:r>
              <w:rPr>
                <w:rFonts w:ascii="Calibri" w:hAnsi="Calibri"/>
                <w:sz w:val="18"/>
              </w:rPr>
              <w:t>Pyranometer: 0–2000 W/m², ISO 9060 Class B</w:t>
            </w:r>
          </w:p>
        </w:tc>
      </w:tr>
    </w:tbl>
    <w:p/>
    <w:p>
      <w:pPr>
        <w:pStyle w:val="Heading4"/>
      </w:pPr>
      <w:r>
        <w:rPr>
          <w:rFonts w:ascii="Calibri" w:hAnsi="Calibri"/>
          <w:color w:val="E65100"/>
          <w:sz w:val="24"/>
        </w:rPr>
        <w:t>6.2.10 CCTV / Traffic Camera</w:t>
      </w:r>
    </w:p>
    <w:p>
      <w:r>
        <w:rPr>
          <w:rFonts w:ascii="Calibri" w:hAnsi="Calibri"/>
          <w:b w:val="0"/>
          <w:i w:val="0"/>
          <w:sz w:val="22"/>
        </w:rPr>
        <w:t>One IP-based PTZ camera (minimum 4 MP, 30× optical zoom, IR night vision) at each bridge approach and, for Level-3, one overlooking the deck. ONVIF Profile S compliant. Video streamed to the SHM dashboard and archived for 30 days on a local NVR.</w:t>
      </w:r>
    </w:p>
    <w:p>
      <w:pPr>
        <w:pStyle w:val="Heading4"/>
      </w:pPr>
      <w:r>
        <w:rPr>
          <w:rFonts w:ascii="Calibri" w:hAnsi="Calibri"/>
          <w:color w:val="E65100"/>
          <w:sz w:val="24"/>
        </w:rPr>
        <w:t>6.2.11 Weigh-in-Motion (WIM)</w:t>
      </w:r>
    </w:p>
    <w:p>
      <w:r>
        <w:rPr>
          <w:rFonts w:ascii="Calibri" w:hAnsi="Calibri"/>
          <w:b w:val="0"/>
          <w:i w:val="0"/>
          <w:sz w:val="22"/>
        </w:rPr>
        <w:t>For Level-3 bridges, a bridge WIM (BWIM) system shall be integrated. Piezoelectric quartz sensors or bending-plate sensors embedded in the approach pavement, capable of:</w:t>
      </w:r>
    </w:p>
    <w:p>
      <w:pPr>
        <w:pStyle w:val="ListBullet"/>
      </w:pPr>
      <w:r>
        <w:t>Axle detection at 5–120 km/h</w:t>
      </w:r>
    </w:p>
    <w:p>
      <w:pPr>
        <w:pStyle w:val="ListBullet"/>
      </w:pPr>
      <w:r>
        <w:t>Gross vehicle weight accuracy ±5%</w:t>
      </w:r>
    </w:p>
    <w:p>
      <w:pPr>
        <w:pStyle w:val="ListBullet"/>
      </w:pPr>
      <w:r>
        <w:t>Single axle weight accuracy ±10%</w:t>
      </w:r>
    </w:p>
    <w:p>
      <w:pPr>
        <w:pStyle w:val="ListBullet"/>
      </w:pPr>
      <w:r>
        <w:t>Classification per IRC vehicle classes + ASTM E1318 COST-323 Class B(10)</w:t>
      </w:r>
    </w:p>
    <w:p>
      <w:pPr>
        <w:pStyle w:val="ListBullet"/>
      </w:pPr>
      <w:r>
        <w:t>Automatic overload alert when detected axle exceeds 1.5× legal limit</w:t>
      </w:r>
    </w:p>
    <w:p>
      <w:r>
        <w:br w:type="page"/>
      </w:r>
    </w:p>
    <w:p>
      <w:pPr>
        <w:pStyle w:val="Heading2"/>
      </w:pPr>
      <w:r>
        <w:rPr>
          <w:rFonts w:ascii="Calibri" w:hAnsi="Calibri"/>
          <w:color w:val="1A3C6D"/>
          <w:sz w:val="36"/>
        </w:rPr>
        <w:t>7. Data Acquisition, Transmission &amp; Storage</w:t>
      </w:r>
    </w:p>
    <w:p>
      <w:pPr>
        <w:pStyle w:val="Heading3"/>
      </w:pPr>
      <w:r>
        <w:rPr>
          <w:rFonts w:ascii="Calibri" w:hAnsi="Calibri"/>
          <w:color w:val="2C5F2D"/>
          <w:sz w:val="28"/>
        </w:rPr>
        <w:t>7.1 Data Acquisition System (DAQ)</w:t>
      </w:r>
    </w:p>
    <w:tbl>
      <w:tblPr>
        <w:tblStyle w:val="TableGrid"/>
        <w:tblW w:type="auto" w:w="0"/>
        <w:jc w:val="center"/>
        <w:tblLook w:firstColumn="1" w:firstRow="1" w:lastColumn="0" w:lastRow="0" w:noHBand="0" w:noVBand="1" w:val="04A0"/>
      </w:tblPr>
      <w:tblGrid>
        <w:gridCol w:w="4536"/>
        <w:gridCol w:w="4536"/>
      </w:tblGrid>
      <w:tr>
        <w:tc>
          <w:tcPr>
            <w:tcW w:type="dxa" w:w="2551"/>
            <w:shd w:fill="1A3C6D"/>
          </w:tcPr>
          <w:p>
            <w:pPr>
              <w:jc w:val="left"/>
            </w:pPr>
            <w:r/>
            <w:r>
              <w:rPr>
                <w:rFonts w:ascii="Calibri" w:hAnsi="Calibri"/>
                <w:b/>
                <w:color w:val="FFFFFF"/>
                <w:sz w:val="18"/>
              </w:rPr>
              <w:t>Parameter</w:t>
            </w:r>
          </w:p>
        </w:tc>
        <w:tc>
          <w:tcPr>
            <w:tcW w:type="dxa" w:w="6236"/>
            <w:shd w:fill="1A3C6D"/>
          </w:tcPr>
          <w:p>
            <w:pPr>
              <w:jc w:val="left"/>
            </w:pPr>
            <w:r/>
            <w:r>
              <w:rPr>
                <w:rFonts w:ascii="Calibri" w:hAnsi="Calibri"/>
                <w:b/>
                <w:color w:val="FFFFFF"/>
                <w:sz w:val="18"/>
              </w:rPr>
              <w:t>Specification</w:t>
            </w:r>
          </w:p>
        </w:tc>
      </w:tr>
      <w:tr>
        <w:tc>
          <w:tcPr>
            <w:tcW w:type="dxa" w:w="2551"/>
          </w:tcPr>
          <w:p>
            <w:r/>
            <w:r>
              <w:rPr>
                <w:rFonts w:ascii="Calibri" w:hAnsi="Calibri"/>
                <w:sz w:val="18"/>
              </w:rPr>
              <w:t>Architecture</w:t>
            </w:r>
          </w:p>
        </w:tc>
        <w:tc>
          <w:tcPr>
            <w:tcW w:type="dxa" w:w="6236"/>
          </w:tcPr>
          <w:p>
            <w:r/>
            <w:r>
              <w:rPr>
                <w:rFonts w:ascii="Calibri" w:hAnsi="Calibri"/>
                <w:sz w:val="18"/>
              </w:rPr>
              <w:t>Distributed — local DAQ nodes near sensor clusters connected via fibre-optic backbone to a central server in the site control room</w:t>
            </w:r>
          </w:p>
        </w:tc>
      </w:tr>
      <w:tr>
        <w:tc>
          <w:tcPr>
            <w:tcW w:type="dxa" w:w="2551"/>
            <w:shd w:fill="F0F3F7"/>
          </w:tcPr>
          <w:p>
            <w:r/>
            <w:r>
              <w:rPr>
                <w:rFonts w:ascii="Calibri" w:hAnsi="Calibri"/>
                <w:sz w:val="18"/>
              </w:rPr>
              <w:t>ADC Resolution</w:t>
            </w:r>
          </w:p>
        </w:tc>
        <w:tc>
          <w:tcPr>
            <w:tcW w:type="dxa" w:w="6236"/>
            <w:shd w:fill="F0F3F7"/>
          </w:tcPr>
          <w:p>
            <w:r/>
            <w:r>
              <w:rPr>
                <w:rFonts w:ascii="Calibri" w:hAnsi="Calibri"/>
                <w:sz w:val="18"/>
              </w:rPr>
              <w:t>24-bit sigma-delta per channel</w:t>
            </w:r>
          </w:p>
        </w:tc>
      </w:tr>
      <w:tr>
        <w:tc>
          <w:tcPr>
            <w:tcW w:type="dxa" w:w="2551"/>
          </w:tcPr>
          <w:p>
            <w:r/>
            <w:r>
              <w:rPr>
                <w:rFonts w:ascii="Calibri" w:hAnsi="Calibri"/>
                <w:sz w:val="18"/>
              </w:rPr>
              <w:t>Sampling Rate</w:t>
            </w:r>
          </w:p>
        </w:tc>
        <w:tc>
          <w:tcPr>
            <w:tcW w:type="dxa" w:w="6236"/>
          </w:tcPr>
          <w:p>
            <w:r/>
            <w:r>
              <w:rPr>
                <w:rFonts w:ascii="Calibri" w:hAnsi="Calibri"/>
                <w:sz w:val="18"/>
              </w:rPr>
              <w:t>100 S/s (static), 1 kS/s (dynamic) per channel, simultaneously sampled</w:t>
            </w:r>
          </w:p>
        </w:tc>
      </w:tr>
      <w:tr>
        <w:tc>
          <w:tcPr>
            <w:tcW w:type="dxa" w:w="2551"/>
            <w:shd w:fill="F0F3F7"/>
          </w:tcPr>
          <w:p>
            <w:r/>
            <w:r>
              <w:rPr>
                <w:rFonts w:ascii="Calibri" w:hAnsi="Calibri"/>
                <w:sz w:val="18"/>
              </w:rPr>
              <w:t>Anti-Aliasing Filter</w:t>
            </w:r>
          </w:p>
        </w:tc>
        <w:tc>
          <w:tcPr>
            <w:tcW w:type="dxa" w:w="6236"/>
            <w:shd w:fill="F0F3F7"/>
          </w:tcPr>
          <w:p>
            <w:r/>
            <w:r>
              <w:rPr>
                <w:rFonts w:ascii="Calibri" w:hAnsi="Calibri"/>
                <w:sz w:val="18"/>
              </w:rPr>
              <w:t>Butterworth, 8-pole, cut-off at 40% of sampling rate</w:t>
            </w:r>
          </w:p>
        </w:tc>
      </w:tr>
      <w:tr>
        <w:tc>
          <w:tcPr>
            <w:tcW w:type="dxa" w:w="2551"/>
          </w:tcPr>
          <w:p>
            <w:r/>
            <w:r>
              <w:rPr>
                <w:rFonts w:ascii="Calibri" w:hAnsi="Calibri"/>
                <w:sz w:val="18"/>
              </w:rPr>
              <w:t>Time Synchronisation</w:t>
            </w:r>
          </w:p>
        </w:tc>
        <w:tc>
          <w:tcPr>
            <w:tcW w:type="dxa" w:w="6236"/>
          </w:tcPr>
          <w:p>
            <w:r/>
            <w:r>
              <w:rPr>
                <w:rFonts w:ascii="Calibri" w:hAnsi="Calibri"/>
                <w:sz w:val="18"/>
              </w:rPr>
              <w:t>GPS/GNSS-disciplined NTP or IEEE 1588 PTP; all channels time-stamped to ±1 ms accuracy</w:t>
            </w:r>
          </w:p>
        </w:tc>
      </w:tr>
      <w:tr>
        <w:tc>
          <w:tcPr>
            <w:tcW w:type="dxa" w:w="2551"/>
            <w:shd w:fill="F0F3F7"/>
          </w:tcPr>
          <w:p>
            <w:r/>
            <w:r>
              <w:rPr>
                <w:rFonts w:ascii="Calibri" w:hAnsi="Calibri"/>
                <w:sz w:val="18"/>
              </w:rPr>
              <w:t>Local Storage</w:t>
            </w:r>
          </w:p>
        </w:tc>
        <w:tc>
          <w:tcPr>
            <w:tcW w:type="dxa" w:w="6236"/>
            <w:shd w:fill="F0F3F7"/>
          </w:tcPr>
          <w:p>
            <w:r/>
            <w:r>
              <w:rPr>
                <w:rFonts w:ascii="Calibri" w:hAnsi="Calibri"/>
                <w:sz w:val="18"/>
              </w:rPr>
              <w:t>Minimum 1 TB SSD per DAQ node — ring buffer for 90 days of raw data</w:t>
            </w:r>
          </w:p>
        </w:tc>
      </w:tr>
      <w:tr>
        <w:tc>
          <w:tcPr>
            <w:tcW w:type="dxa" w:w="2551"/>
          </w:tcPr>
          <w:p>
            <w:r/>
            <w:r>
              <w:rPr>
                <w:rFonts w:ascii="Calibri" w:hAnsi="Calibri"/>
                <w:sz w:val="18"/>
              </w:rPr>
              <w:t>Power Supply</w:t>
            </w:r>
          </w:p>
        </w:tc>
        <w:tc>
          <w:tcPr>
            <w:tcW w:type="dxa" w:w="6236"/>
          </w:tcPr>
          <w:p>
            <w:r/>
            <w:r>
              <w:rPr>
                <w:rFonts w:ascii="Calibri" w:hAnsi="Calibri"/>
                <w:sz w:val="18"/>
              </w:rPr>
              <w:t>230 VAC ±15%, 50 Hz with UPS (4 hr battery); optional solar + battery for remote sites</w:t>
            </w:r>
          </w:p>
        </w:tc>
      </w:tr>
      <w:tr>
        <w:tc>
          <w:tcPr>
            <w:tcW w:type="dxa" w:w="2551"/>
            <w:shd w:fill="F0F3F7"/>
          </w:tcPr>
          <w:p>
            <w:r/>
            <w:r>
              <w:rPr>
                <w:rFonts w:ascii="Calibri" w:hAnsi="Calibri"/>
                <w:sz w:val="18"/>
              </w:rPr>
              <w:t>Environmental</w:t>
            </w:r>
          </w:p>
        </w:tc>
        <w:tc>
          <w:tcPr>
            <w:tcW w:type="dxa" w:w="6236"/>
            <w:shd w:fill="F0F3F7"/>
          </w:tcPr>
          <w:p>
            <w:r/>
            <w:r>
              <w:rPr>
                <w:rFonts w:ascii="Calibri" w:hAnsi="Calibri"/>
                <w:sz w:val="18"/>
              </w:rPr>
              <w:t>NEMA 4X / IP66 enclosure; forced ventilation with filter; internal temperature and humidity monitor</w:t>
            </w:r>
          </w:p>
        </w:tc>
      </w:tr>
      <w:tr>
        <w:tc>
          <w:tcPr>
            <w:tcW w:type="dxa" w:w="2551"/>
          </w:tcPr>
          <w:p>
            <w:r/>
            <w:r>
              <w:rPr>
                <w:rFonts w:ascii="Calibri" w:hAnsi="Calibri"/>
                <w:sz w:val="18"/>
              </w:rPr>
              <w:t>Surge Protection</w:t>
            </w:r>
          </w:p>
        </w:tc>
        <w:tc>
          <w:tcPr>
            <w:tcW w:type="dxa" w:w="6236"/>
          </w:tcPr>
          <w:p>
            <w:r/>
            <w:r>
              <w:rPr>
                <w:rFonts w:ascii="Calibri" w:hAnsi="Calibri"/>
                <w:sz w:val="18"/>
              </w:rPr>
              <w:t>All signal and power lines: SPD per IEC 61643-11, Class I+II</w:t>
            </w:r>
          </w:p>
        </w:tc>
      </w:tr>
      <w:tr>
        <w:tc>
          <w:tcPr>
            <w:tcW w:type="dxa" w:w="2551"/>
            <w:shd w:fill="F0F3F7"/>
          </w:tcPr>
          <w:p>
            <w:r/>
            <w:r>
              <w:rPr>
                <w:rFonts w:ascii="Calibri" w:hAnsi="Calibri"/>
                <w:sz w:val="18"/>
              </w:rPr>
              <w:t>Self-Diagnostics</w:t>
            </w:r>
          </w:p>
        </w:tc>
        <w:tc>
          <w:tcPr>
            <w:tcW w:type="dxa" w:w="6236"/>
            <w:shd w:fill="F0F3F7"/>
          </w:tcPr>
          <w:p>
            <w:r/>
            <w:r>
              <w:rPr>
                <w:rFonts w:ascii="Calibri" w:hAnsi="Calibri"/>
                <w:sz w:val="18"/>
              </w:rPr>
              <w:t>Watchdog timer; automatic reboot on lock-up; sensor health (open/short/excitation); daily health report</w:t>
            </w:r>
          </w:p>
        </w:tc>
      </w:tr>
    </w:tbl>
    <w:p/>
    <w:p>
      <w:pPr>
        <w:pStyle w:val="Heading3"/>
      </w:pPr>
      <w:r>
        <w:rPr>
          <w:rFonts w:ascii="Calibri" w:hAnsi="Calibri"/>
          <w:color w:val="2C5F2D"/>
          <w:sz w:val="28"/>
        </w:rPr>
        <w:t>7.2 Communication Backbone</w:t>
      </w:r>
    </w:p>
    <w:tbl>
      <w:tblPr>
        <w:tblStyle w:val="TableGrid"/>
        <w:tblW w:type="auto" w:w="0"/>
        <w:jc w:val="center"/>
        <w:tblLook w:firstColumn="1" w:firstRow="1" w:lastColumn="0" w:lastRow="0" w:noHBand="0" w:noVBand="1" w:val="04A0"/>
      </w:tblPr>
      <w:tblGrid>
        <w:gridCol w:w="4536"/>
        <w:gridCol w:w="4536"/>
      </w:tblGrid>
      <w:tr>
        <w:tc>
          <w:tcPr>
            <w:tcW w:type="dxa" w:w="2551"/>
            <w:shd w:fill="1A3C6D"/>
          </w:tcPr>
          <w:p>
            <w:pPr>
              <w:jc w:val="left"/>
            </w:pPr>
            <w:r/>
            <w:r>
              <w:rPr>
                <w:rFonts w:ascii="Calibri" w:hAnsi="Calibri"/>
                <w:b/>
                <w:color w:val="FFFFFF"/>
                <w:sz w:val="18"/>
              </w:rPr>
              <w:t>Link</w:t>
            </w:r>
          </w:p>
        </w:tc>
        <w:tc>
          <w:tcPr>
            <w:tcW w:type="dxa" w:w="6236"/>
            <w:shd w:fill="1A3C6D"/>
          </w:tcPr>
          <w:p>
            <w:pPr>
              <w:jc w:val="left"/>
            </w:pPr>
            <w:r/>
            <w:r>
              <w:rPr>
                <w:rFonts w:ascii="Calibri" w:hAnsi="Calibri"/>
                <w:b/>
                <w:color w:val="FFFFFF"/>
                <w:sz w:val="18"/>
              </w:rPr>
              <w:t>Technology</w:t>
            </w:r>
          </w:p>
        </w:tc>
      </w:tr>
      <w:tr>
        <w:tc>
          <w:tcPr>
            <w:tcW w:type="dxa" w:w="2551"/>
          </w:tcPr>
          <w:p>
            <w:r/>
            <w:r>
              <w:rPr>
                <w:rFonts w:ascii="Calibri" w:hAnsi="Calibri"/>
                <w:sz w:val="18"/>
              </w:rPr>
              <w:t>DAQ to Central Server</w:t>
            </w:r>
          </w:p>
        </w:tc>
        <w:tc>
          <w:tcPr>
            <w:tcW w:type="dxa" w:w="6236"/>
          </w:tcPr>
          <w:p>
            <w:r/>
            <w:r>
              <w:rPr>
                <w:rFonts w:ascii="Calibri" w:hAnsi="Calibri"/>
                <w:sz w:val="18"/>
              </w:rPr>
              <w:t>Single-mode fibre (G.652.D), Gigabit Ethernet, redundant ring topology with &lt; 10 ms failover</w:t>
            </w:r>
          </w:p>
        </w:tc>
      </w:tr>
      <w:tr>
        <w:tc>
          <w:tcPr>
            <w:tcW w:type="dxa" w:w="2551"/>
            <w:shd w:fill="F0F3F7"/>
          </w:tcPr>
          <w:p>
            <w:r/>
            <w:r>
              <w:rPr>
                <w:rFonts w:ascii="Calibri" w:hAnsi="Calibri"/>
                <w:sz w:val="18"/>
              </w:rPr>
              <w:t>Central Server to Cloud</w:t>
            </w:r>
          </w:p>
        </w:tc>
        <w:tc>
          <w:tcPr>
            <w:tcW w:type="dxa" w:w="6236"/>
            <w:shd w:fill="F0F3F7"/>
          </w:tcPr>
          <w:p>
            <w:r/>
            <w:r>
              <w:rPr>
                <w:rFonts w:ascii="Calibri" w:hAnsi="Calibri"/>
                <w:sz w:val="18"/>
              </w:rPr>
              <w:t>4G/LTE cellular router with automatic failover to 5G or VSAT; minimum 50 Mbps uplink</w:t>
            </w:r>
          </w:p>
        </w:tc>
      </w:tr>
      <w:tr>
        <w:tc>
          <w:tcPr>
            <w:tcW w:type="dxa" w:w="2551"/>
          </w:tcPr>
          <w:p>
            <w:r/>
            <w:r>
              <w:rPr>
                <w:rFonts w:ascii="Calibri" w:hAnsi="Calibri"/>
                <w:sz w:val="18"/>
              </w:rPr>
              <w:t>Wireless Sensors (if any)</w:t>
            </w:r>
          </w:p>
        </w:tc>
        <w:tc>
          <w:tcPr>
            <w:tcW w:type="dxa" w:w="6236"/>
          </w:tcPr>
          <w:p>
            <w:r/>
            <w:r>
              <w:rPr>
                <w:rFonts w:ascii="Calibri" w:hAnsi="Calibri"/>
                <w:sz w:val="18"/>
              </w:rPr>
              <w:t>IEEE 802.15.4 (Zigbee) or LoRaWAN 868 MHz with AES-128 encryption; range ≥ 500 m line-of-sight</w:t>
            </w:r>
          </w:p>
        </w:tc>
      </w:tr>
    </w:tbl>
    <w:p/>
    <w:p>
      <w:pPr>
        <w:pStyle w:val="Heading3"/>
      </w:pPr>
      <w:r>
        <w:rPr>
          <w:rFonts w:ascii="Calibri" w:hAnsi="Calibri"/>
          <w:color w:val="2C5F2D"/>
          <w:sz w:val="28"/>
        </w:rPr>
        <w:t>7.3 On-Site Server &amp; Cloud Architecture</w:t>
      </w:r>
    </w:p>
    <w:p>
      <w:pPr>
        <w:pStyle w:val="ListBullet"/>
      </w:pPr>
      <w:r>
        <w:t>On-Site Server: Industrial-grade rack server, dual Xeon or EPYC, 64 GB RAM, RAID-5 (4 × 4 TB HDD), running Linux (RHEL / Ubuntu LTS). Hosts real-time data ingestion, local database (TimescaleDB or InfluxDB), and local dashboard. All data replicated to cloud within 60 seconds.</w:t>
      </w:r>
    </w:p>
    <w:p>
      <w:pPr>
        <w:pStyle w:val="ListBullet"/>
      </w:pPr>
      <w:r>
        <w:t>Cloud Platform: Deployed on MeitY-empanelled cloud (NIC cloud, or commercial provider with data centre in India). PostgreSQL/TimescaleDB for long-term archive. REST API for integration with NHAI Bridge Management System (BMS).</w:t>
      </w:r>
    </w:p>
    <w:p>
      <w:r>
        <w:rPr>
          <w:rFonts w:ascii="Calibri" w:hAnsi="Calibri"/>
          <w:b/>
          <w:i w:val="0"/>
          <w:sz w:val="22"/>
        </w:rPr>
        <w:t>Data Retention:</w:t>
      </w:r>
    </w:p>
    <w:p>
      <w:pPr>
        <w:pStyle w:val="ListBullet"/>
      </w:pPr>
      <w:r>
        <w:t>Raw dynamic data (1 kS/s): 30 days locally, 1 year in cloud (summary only after 30 days)</w:t>
      </w:r>
    </w:p>
    <w:p>
      <w:pPr>
        <w:pStyle w:val="ListBullet"/>
      </w:pPr>
      <w:r>
        <w:t>10-minute statistics (mean, max, min, std): 10 years</w:t>
      </w:r>
    </w:p>
    <w:p>
      <w:pPr>
        <w:pStyle w:val="ListBullet"/>
      </w:pPr>
      <w:r>
        <w:t>Hourly statistics: retained for life of structure</w:t>
      </w:r>
    </w:p>
    <w:p>
      <w:pPr>
        <w:pStyle w:val="ListBullet"/>
      </w:pPr>
      <w:r>
        <w:t>Event / alarm data: retained permanently</w:t>
      </w:r>
    </w:p>
    <w:p>
      <w:pPr>
        <w:pStyle w:val="ListBullet"/>
      </w:pPr>
      <w:r>
        <w:t>CCTV footage: 30 days rolling</w:t>
      </w:r>
    </w:p>
    <w:p>
      <w:pPr>
        <w:pStyle w:val="Heading3"/>
      </w:pPr>
      <w:r>
        <w:rPr>
          <w:rFonts w:ascii="Calibri" w:hAnsi="Calibri"/>
          <w:color w:val="2C5F2D"/>
          <w:sz w:val="28"/>
        </w:rPr>
        <w:t>7.4 Data Security</w:t>
      </w:r>
    </w:p>
    <w:p>
      <w:pPr>
        <w:pStyle w:val="ListBullet"/>
      </w:pPr>
      <w:r>
        <w:t>All data in transit encrypted via TLS 1.3</w:t>
      </w:r>
    </w:p>
    <w:p>
      <w:pPr>
        <w:pStyle w:val="ListBullet"/>
      </w:pPr>
      <w:r>
        <w:t>VPN tunnel (IPsec) between site server and cloud</w:t>
      </w:r>
    </w:p>
    <w:p>
      <w:pPr>
        <w:pStyle w:val="ListBullet"/>
      </w:pPr>
      <w:r>
        <w:t>Role-based access control (RBAC) with Aadhaar-linked or OTP-based 2FA</w:t>
      </w:r>
    </w:p>
    <w:p>
      <w:pPr>
        <w:pStyle w:val="ListBullet"/>
      </w:pPr>
      <w:r>
        <w:t>Audit log of all user access and configuration changes</w:t>
      </w:r>
    </w:p>
    <w:p>
      <w:pPr>
        <w:pStyle w:val="ListBullet"/>
      </w:pPr>
      <w:r>
        <w:t>Compliance with IT Act 2000 and MeitY data localisation requirements</w:t>
      </w:r>
    </w:p>
    <w:p>
      <w:r>
        <w:br w:type="page"/>
      </w:r>
    </w:p>
    <w:p>
      <w:pPr>
        <w:pStyle w:val="Heading2"/>
      </w:pPr>
      <w:r>
        <w:rPr>
          <w:rFonts w:ascii="Calibri" w:hAnsi="Calibri"/>
          <w:color w:val="1A3C6D"/>
          <w:sz w:val="36"/>
        </w:rPr>
        <w:t>8. Data Processing, Analytics &amp; Threshold Alerts</w:t>
      </w:r>
    </w:p>
    <w:p>
      <w:pPr>
        <w:pStyle w:val="Heading3"/>
      </w:pPr>
      <w:r>
        <w:rPr>
          <w:rFonts w:ascii="Calibri" w:hAnsi="Calibri"/>
          <w:color w:val="2C5F2D"/>
          <w:sz w:val="28"/>
        </w:rPr>
        <w:t>8.1 Real-Time Processing Pipeline</w:t>
      </w:r>
    </w:p>
    <w:p>
      <w:pPr>
        <w:pStyle w:val="ListNumber"/>
      </w:pPr>
      <w:r>
        <w:t>Ingestion: MQTT or Kafka-based stream from DAQ nodes</w:t>
      </w:r>
    </w:p>
    <w:p>
      <w:pPr>
        <w:pStyle w:val="ListNumber"/>
      </w:pPr>
      <w:r>
        <w:t>Validation: Range check, rate-of-change check, flat-line detection, spike removal</w:t>
      </w:r>
    </w:p>
    <w:p>
      <w:pPr>
        <w:pStyle w:val="ListNumber"/>
      </w:pPr>
      <w:r>
        <w:t>Unit Conversion: Raw counts → engineering units using calibration coefficients</w:t>
      </w:r>
    </w:p>
    <w:p>
      <w:pPr>
        <w:pStyle w:val="ListNumber"/>
      </w:pPr>
      <w:r>
        <w:t>Temperature Compensation: Apply thermal correction to strain and displacement readings using co-located temperature sensors</w:t>
      </w:r>
    </w:p>
    <w:p>
      <w:pPr>
        <w:pStyle w:val="ListNumber"/>
      </w:pPr>
      <w:r>
        <w:t>Statistical Aggregation: Compute 10-minute window statistics (mean, max, min, standard deviation, peak-to-peak)</w:t>
      </w:r>
    </w:p>
    <w:p>
      <w:pPr>
        <w:pStyle w:val="ListNumber"/>
      </w:pPr>
      <w:r>
        <w:t>Threshold Comparison: Compare against predefined alert thresholds (Section 8.3)</w:t>
      </w:r>
    </w:p>
    <w:p>
      <w:pPr>
        <w:pStyle w:val="ListNumber"/>
      </w:pPr>
      <w:r>
        <w:t>Storage: Time-series database; trigger event records if threshold exceeded</w:t>
      </w:r>
    </w:p>
    <w:p>
      <w:pPr>
        <w:pStyle w:val="Heading3"/>
      </w:pPr>
      <w:r>
        <w:rPr>
          <w:rFonts w:ascii="Calibri" w:hAnsi="Calibri"/>
          <w:color w:val="2C5F2D"/>
          <w:sz w:val="28"/>
        </w:rPr>
        <w:t>8.2 Modal Analysis (Level-2 &amp; Level-3)</w:t>
      </w:r>
    </w:p>
    <w:p>
      <w:r>
        <w:rPr>
          <w:rFonts w:ascii="Calibri" w:hAnsi="Calibri"/>
          <w:b w:val="0"/>
          <w:i w:val="0"/>
          <w:sz w:val="22"/>
        </w:rPr>
        <w:t>The SHM software shall perform automated Operational Modal Analysis (OMA) at least once per day (or on-demand) using Stochastic Subspace Identification (SSI-COV or SSI-DATA):</w:t>
      </w:r>
    </w:p>
    <w:p>
      <w:pPr>
        <w:pStyle w:val="ListBullet"/>
      </w:pPr>
      <w:r>
        <w:t>Extract first 10–20 global modes depending on bridge complexity</w:t>
      </w:r>
    </w:p>
    <w:p>
      <w:pPr>
        <w:pStyle w:val="ListBullet"/>
      </w:pPr>
      <w:r>
        <w:t>Track natural frequencies, damping ratios, and Mode Assurance Criterion (MAC)</w:t>
      </w:r>
    </w:p>
    <w:p>
      <w:pPr>
        <w:pStyle w:val="ListBullet"/>
      </w:pPr>
      <w:r>
        <w:t>Alert if any natural frequency shifts by &gt; 10% from baseline (temperature-corrected)</w:t>
      </w:r>
    </w:p>
    <w:p>
      <w:pPr>
        <w:pStyle w:val="ListBullet"/>
      </w:pPr>
      <w:r>
        <w:t>Alert if MAC value drops below 0.90 between successive analyses</w:t>
      </w:r>
    </w:p>
    <w:p>
      <w:pPr>
        <w:pStyle w:val="ListBullet"/>
      </w:pPr>
      <w:r>
        <w:t>Use modal data for FE model updating every 6 months</w:t>
      </w:r>
    </w:p>
    <w:p>
      <w:pPr>
        <w:pStyle w:val="Heading3"/>
      </w:pPr>
      <w:r>
        <w:rPr>
          <w:rFonts w:ascii="Calibri" w:hAnsi="Calibri"/>
          <w:color w:val="2C5F2D"/>
          <w:sz w:val="28"/>
        </w:rPr>
        <w:t>8.3 Alert Thresholds &amp; Alarm Protocol</w:t>
      </w:r>
    </w:p>
    <w:p>
      <w:r>
        <w:rPr>
          <w:rFonts w:ascii="Calibri" w:hAnsi="Calibri"/>
          <w:b w:val="0"/>
          <w:i w:val="0"/>
          <w:sz w:val="22"/>
        </w:rPr>
        <w:t>A three-tier alarm system shall be implemented:</w:t>
      </w:r>
    </w:p>
    <w:tbl>
      <w:tblPr>
        <w:tblStyle w:val="TableGrid"/>
        <w:tblW w:type="auto" w:w="0"/>
        <w:jc w:val="center"/>
        <w:tblLook w:firstColumn="1" w:firstRow="1" w:lastColumn="0" w:lastRow="0" w:noHBand="0" w:noVBand="1" w:val="04A0"/>
      </w:tblPr>
      <w:tblGrid>
        <w:gridCol w:w="1814"/>
        <w:gridCol w:w="1814"/>
        <w:gridCol w:w="1814"/>
        <w:gridCol w:w="1814"/>
        <w:gridCol w:w="1814"/>
      </w:tblGrid>
      <w:tr>
        <w:tc>
          <w:tcPr>
            <w:tcW w:type="dxa" w:w="850"/>
            <w:shd w:fill="1A3C6D"/>
          </w:tcPr>
          <w:p>
            <w:pPr>
              <w:jc w:val="left"/>
            </w:pPr>
            <w:r/>
            <w:r>
              <w:rPr>
                <w:rFonts w:ascii="Calibri" w:hAnsi="Calibri"/>
                <w:b/>
                <w:color w:val="FFFFFF"/>
                <w:sz w:val="18"/>
              </w:rPr>
              <w:t>Tier</w:t>
            </w:r>
          </w:p>
        </w:tc>
        <w:tc>
          <w:tcPr>
            <w:tcW w:type="dxa" w:w="1417"/>
            <w:shd w:fill="1A3C6D"/>
          </w:tcPr>
          <w:p>
            <w:pPr>
              <w:jc w:val="left"/>
            </w:pPr>
            <w:r/>
            <w:r>
              <w:rPr>
                <w:rFonts w:ascii="Calibri" w:hAnsi="Calibri"/>
                <w:b/>
                <w:color w:val="FFFFFF"/>
                <w:sz w:val="18"/>
              </w:rPr>
              <w:t>Name</w:t>
            </w:r>
          </w:p>
        </w:tc>
        <w:tc>
          <w:tcPr>
            <w:tcW w:type="dxa" w:w="2835"/>
            <w:shd w:fill="1A3C6D"/>
          </w:tcPr>
          <w:p>
            <w:pPr>
              <w:jc w:val="left"/>
            </w:pPr>
            <w:r/>
            <w:r>
              <w:rPr>
                <w:rFonts w:ascii="Calibri" w:hAnsi="Calibri"/>
                <w:b/>
                <w:color w:val="FFFFFF"/>
                <w:sz w:val="18"/>
              </w:rPr>
              <w:t>Trigger Condition</w:t>
            </w:r>
          </w:p>
        </w:tc>
        <w:tc>
          <w:tcPr>
            <w:tcW w:type="dxa" w:w="1417"/>
            <w:shd w:fill="1A3C6D"/>
          </w:tcPr>
          <w:p>
            <w:pPr>
              <w:jc w:val="left"/>
            </w:pPr>
            <w:r/>
            <w:r>
              <w:rPr>
                <w:rFonts w:ascii="Calibri" w:hAnsi="Calibri"/>
                <w:b/>
                <w:color w:val="FFFFFF"/>
                <w:sz w:val="18"/>
              </w:rPr>
              <w:t>Response Time</w:t>
            </w:r>
          </w:p>
        </w:tc>
        <w:tc>
          <w:tcPr>
            <w:tcW w:type="dxa" w:w="2268"/>
            <w:shd w:fill="1A3C6D"/>
          </w:tcPr>
          <w:p>
            <w:pPr>
              <w:jc w:val="left"/>
            </w:pPr>
            <w:r/>
            <w:r>
              <w:rPr>
                <w:rFonts w:ascii="Calibri" w:hAnsi="Calibri"/>
                <w:b/>
                <w:color w:val="FFFFFF"/>
                <w:sz w:val="18"/>
              </w:rPr>
              <w:t>Recipients</w:t>
            </w:r>
          </w:p>
        </w:tc>
      </w:tr>
      <w:tr>
        <w:tc>
          <w:tcPr>
            <w:tcW w:type="dxa" w:w="850"/>
          </w:tcPr>
          <w:p>
            <w:r/>
            <w:r>
              <w:rPr>
                <w:rFonts w:ascii="Calibri" w:hAnsi="Calibri"/>
                <w:sz w:val="18"/>
              </w:rPr>
              <w:t>I</w:t>
            </w:r>
          </w:p>
        </w:tc>
        <w:tc>
          <w:tcPr>
            <w:tcW w:type="dxa" w:w="1417"/>
          </w:tcPr>
          <w:p>
            <w:r/>
            <w:r>
              <w:rPr>
                <w:rFonts w:ascii="Calibri" w:hAnsi="Calibri"/>
                <w:sz w:val="18"/>
              </w:rPr>
              <w:t>Advisory (Blue)</w:t>
            </w:r>
          </w:p>
        </w:tc>
        <w:tc>
          <w:tcPr>
            <w:tcW w:type="dxa" w:w="2835"/>
          </w:tcPr>
          <w:p>
            <w:r/>
            <w:r>
              <w:rPr>
                <w:rFonts w:ascii="Calibri" w:hAnsi="Calibri"/>
                <w:sz w:val="18"/>
              </w:rPr>
              <w:t>Parameter exceeds 80% of design limit, or 2σ from baseline</w:t>
            </w:r>
          </w:p>
        </w:tc>
        <w:tc>
          <w:tcPr>
            <w:tcW w:type="dxa" w:w="1417"/>
          </w:tcPr>
          <w:p>
            <w:r/>
            <w:r>
              <w:rPr>
                <w:rFonts w:ascii="Calibri" w:hAnsi="Calibri"/>
                <w:sz w:val="18"/>
              </w:rPr>
              <w:t>Within 4 hours</w:t>
            </w:r>
          </w:p>
        </w:tc>
        <w:tc>
          <w:tcPr>
            <w:tcW w:type="dxa" w:w="2268"/>
          </w:tcPr>
          <w:p>
            <w:r/>
            <w:r>
              <w:rPr>
                <w:rFonts w:ascii="Calibri" w:hAnsi="Calibri"/>
                <w:sz w:val="18"/>
              </w:rPr>
              <w:t>Dashboard notification; daily report</w:t>
            </w:r>
          </w:p>
        </w:tc>
      </w:tr>
      <w:tr>
        <w:tc>
          <w:tcPr>
            <w:tcW w:type="dxa" w:w="850"/>
            <w:shd w:fill="F0F3F7"/>
          </w:tcPr>
          <w:p>
            <w:r/>
            <w:r>
              <w:rPr>
                <w:rFonts w:ascii="Calibri" w:hAnsi="Calibri"/>
                <w:sz w:val="18"/>
              </w:rPr>
              <w:t>II</w:t>
            </w:r>
          </w:p>
        </w:tc>
        <w:tc>
          <w:tcPr>
            <w:tcW w:type="dxa" w:w="1417"/>
            <w:shd w:fill="F0F3F7"/>
          </w:tcPr>
          <w:p>
            <w:r/>
            <w:r>
              <w:rPr>
                <w:rFonts w:ascii="Calibri" w:hAnsi="Calibri"/>
                <w:sz w:val="18"/>
              </w:rPr>
              <w:t>Warning (Amber)</w:t>
            </w:r>
          </w:p>
        </w:tc>
        <w:tc>
          <w:tcPr>
            <w:tcW w:type="dxa" w:w="2835"/>
            <w:shd w:fill="F0F3F7"/>
          </w:tcPr>
          <w:p>
            <w:r/>
            <w:r>
              <w:rPr>
                <w:rFonts w:ascii="Calibri" w:hAnsi="Calibri"/>
                <w:sz w:val="18"/>
              </w:rPr>
              <w:t>Parameter exceeds 95% of design limit, or 3σ from baseline, or sustained trend toward limit</w:t>
            </w:r>
          </w:p>
        </w:tc>
        <w:tc>
          <w:tcPr>
            <w:tcW w:type="dxa" w:w="1417"/>
            <w:shd w:fill="F0F3F7"/>
          </w:tcPr>
          <w:p>
            <w:r/>
            <w:r>
              <w:rPr>
                <w:rFonts w:ascii="Calibri" w:hAnsi="Calibri"/>
                <w:sz w:val="18"/>
              </w:rPr>
              <w:t>Within 30 minutes</w:t>
            </w:r>
          </w:p>
        </w:tc>
        <w:tc>
          <w:tcPr>
            <w:tcW w:type="dxa" w:w="2268"/>
            <w:shd w:fill="F0F3F7"/>
          </w:tcPr>
          <w:p>
            <w:r/>
            <w:r>
              <w:rPr>
                <w:rFonts w:ascii="Calibri" w:hAnsi="Calibri"/>
                <w:sz w:val="18"/>
              </w:rPr>
              <w:t>SMS + email to project engineer, concessionaire</w:t>
            </w:r>
          </w:p>
        </w:tc>
      </w:tr>
      <w:tr>
        <w:tc>
          <w:tcPr>
            <w:tcW w:type="dxa" w:w="850"/>
          </w:tcPr>
          <w:p>
            <w:r/>
            <w:r>
              <w:rPr>
                <w:rFonts w:ascii="Calibri" w:hAnsi="Calibri"/>
                <w:sz w:val="18"/>
              </w:rPr>
              <w:t>III</w:t>
            </w:r>
          </w:p>
        </w:tc>
        <w:tc>
          <w:tcPr>
            <w:tcW w:type="dxa" w:w="1417"/>
          </w:tcPr>
          <w:p>
            <w:r/>
            <w:r>
              <w:rPr>
                <w:rFonts w:ascii="Calibri" w:hAnsi="Calibri"/>
                <w:sz w:val="18"/>
              </w:rPr>
              <w:t>Critical (Red)</w:t>
            </w:r>
          </w:p>
        </w:tc>
        <w:tc>
          <w:tcPr>
            <w:tcW w:type="dxa" w:w="2835"/>
          </w:tcPr>
          <w:p>
            <w:r/>
            <w:r>
              <w:rPr>
                <w:rFonts w:ascii="Calibri" w:hAnsi="Calibri"/>
                <w:sz w:val="18"/>
              </w:rPr>
              <w:t>Parameter exceeds design limit, or rate of change is sudden (&gt; 5σ event), or seismic acceleration exceeds 0.05 g (Zone IV/V trigger)</w:t>
            </w:r>
          </w:p>
        </w:tc>
        <w:tc>
          <w:tcPr>
            <w:tcW w:type="dxa" w:w="1417"/>
          </w:tcPr>
          <w:p>
            <w:r/>
            <w:r>
              <w:rPr>
                <w:rFonts w:ascii="Calibri" w:hAnsi="Calibri"/>
                <w:sz w:val="18"/>
              </w:rPr>
              <w:t>Within 5 minutes</w:t>
            </w:r>
          </w:p>
        </w:tc>
        <w:tc>
          <w:tcPr>
            <w:tcW w:type="dxa" w:w="2268"/>
          </w:tcPr>
          <w:p>
            <w:r/>
            <w:r>
              <w:rPr>
                <w:rFonts w:ascii="Calibri" w:hAnsi="Calibri"/>
                <w:sz w:val="18"/>
              </w:rPr>
              <w:t>SMS + voice call to project director, NHAI regional officer, emergency protocol activation</w:t>
            </w:r>
          </w:p>
        </w:tc>
      </w:tr>
    </w:tbl>
    <w:p/>
    <w:p/>
    <w:p>
      <w:r>
        <w:rPr>
          <w:rFonts w:ascii="Calibri" w:hAnsi="Calibri"/>
          <w:b/>
          <w:i w:val="0"/>
          <w:sz w:val="22"/>
        </w:rPr>
        <w:t>Default Thresholds for Common Parameters</w:t>
      </w:r>
    </w:p>
    <w:tbl>
      <w:tblPr>
        <w:tblStyle w:val="TableGrid"/>
        <w:tblW w:type="auto" w:w="0"/>
        <w:jc w:val="center"/>
        <w:tblLook w:firstColumn="1" w:firstRow="1" w:lastColumn="0" w:lastRow="0" w:noHBand="0" w:noVBand="1" w:val="04A0"/>
      </w:tblPr>
      <w:tblGrid>
        <w:gridCol w:w="3024"/>
        <w:gridCol w:w="3024"/>
        <w:gridCol w:w="3024"/>
      </w:tblGrid>
      <w:tr>
        <w:tc>
          <w:tcPr>
            <w:tcW w:type="dxa" w:w="3118"/>
            <w:shd w:fill="1A3C6D"/>
          </w:tcPr>
          <w:p>
            <w:pPr>
              <w:jc w:val="left"/>
            </w:pPr>
            <w:r/>
            <w:r>
              <w:rPr>
                <w:rFonts w:ascii="Calibri" w:hAnsi="Calibri"/>
                <w:b/>
                <w:color w:val="FFFFFF"/>
                <w:sz w:val="18"/>
              </w:rPr>
              <w:t>Parameter</w:t>
            </w:r>
          </w:p>
        </w:tc>
        <w:tc>
          <w:tcPr>
            <w:tcW w:type="dxa" w:w="2835"/>
            <w:shd w:fill="1A3C6D"/>
          </w:tcPr>
          <w:p>
            <w:pPr>
              <w:jc w:val="left"/>
            </w:pPr>
            <w:r/>
            <w:r>
              <w:rPr>
                <w:rFonts w:ascii="Calibri" w:hAnsi="Calibri"/>
                <w:b/>
                <w:color w:val="FFFFFF"/>
                <w:sz w:val="18"/>
              </w:rPr>
              <w:t>Advisory (Blue)</w:t>
            </w:r>
          </w:p>
        </w:tc>
        <w:tc>
          <w:tcPr>
            <w:tcW w:type="dxa" w:w="2835"/>
            <w:shd w:fill="1A3C6D"/>
          </w:tcPr>
          <w:p>
            <w:pPr>
              <w:jc w:val="left"/>
            </w:pPr>
            <w:r/>
            <w:r>
              <w:rPr>
                <w:rFonts w:ascii="Calibri" w:hAnsi="Calibri"/>
                <w:b/>
                <w:color w:val="FFFFFF"/>
                <w:sz w:val="18"/>
              </w:rPr>
              <w:t>Critical (Red)</w:t>
            </w:r>
          </w:p>
        </w:tc>
      </w:tr>
      <w:tr>
        <w:tc>
          <w:tcPr>
            <w:tcW w:type="dxa" w:w="3118"/>
          </w:tcPr>
          <w:p>
            <w:r/>
            <w:r>
              <w:rPr>
                <w:rFonts w:ascii="Calibri" w:hAnsi="Calibri"/>
                <w:sz w:val="18"/>
              </w:rPr>
              <w:t>Mid-span Deflection</w:t>
            </w:r>
          </w:p>
        </w:tc>
        <w:tc>
          <w:tcPr>
            <w:tcW w:type="dxa" w:w="2835"/>
          </w:tcPr>
          <w:p>
            <w:r/>
            <w:r>
              <w:rPr>
                <w:rFonts w:ascii="Calibri" w:hAnsi="Calibri"/>
                <w:sz w:val="18"/>
              </w:rPr>
              <w:t>&gt; L/1000</w:t>
            </w:r>
          </w:p>
        </w:tc>
        <w:tc>
          <w:tcPr>
            <w:tcW w:type="dxa" w:w="2835"/>
          </w:tcPr>
          <w:p>
            <w:r/>
            <w:r>
              <w:rPr>
                <w:rFonts w:ascii="Calibri" w:hAnsi="Calibri"/>
                <w:sz w:val="18"/>
              </w:rPr>
              <w:t>&gt; L/800</w:t>
            </w:r>
          </w:p>
        </w:tc>
      </w:tr>
      <w:tr>
        <w:tc>
          <w:tcPr>
            <w:tcW w:type="dxa" w:w="3118"/>
            <w:shd w:fill="F0F3F7"/>
          </w:tcPr>
          <w:p>
            <w:r/>
            <w:r>
              <w:rPr>
                <w:rFonts w:ascii="Calibri" w:hAnsi="Calibri"/>
                <w:sz w:val="18"/>
              </w:rPr>
              <w:t>Concrete Compressive Strain</w:t>
            </w:r>
          </w:p>
        </w:tc>
        <w:tc>
          <w:tcPr>
            <w:tcW w:type="dxa" w:w="2835"/>
            <w:shd w:fill="F0F3F7"/>
          </w:tcPr>
          <w:p>
            <w:r/>
            <w:r>
              <w:rPr>
                <w:rFonts w:ascii="Calibri" w:hAnsi="Calibri"/>
                <w:sz w:val="18"/>
              </w:rPr>
              <w:t>&gt; 500 µε</w:t>
            </w:r>
          </w:p>
        </w:tc>
        <w:tc>
          <w:tcPr>
            <w:tcW w:type="dxa" w:w="2835"/>
            <w:shd w:fill="F0F3F7"/>
          </w:tcPr>
          <w:p>
            <w:r/>
            <w:r>
              <w:rPr>
                <w:rFonts w:ascii="Calibri" w:hAnsi="Calibri"/>
                <w:sz w:val="18"/>
              </w:rPr>
              <w:t>&gt; 1000 µε</w:t>
            </w:r>
          </w:p>
        </w:tc>
      </w:tr>
      <w:tr>
        <w:tc>
          <w:tcPr>
            <w:tcW w:type="dxa" w:w="3118"/>
          </w:tcPr>
          <w:p>
            <w:r/>
            <w:r>
              <w:rPr>
                <w:rFonts w:ascii="Calibri" w:hAnsi="Calibri"/>
                <w:sz w:val="18"/>
              </w:rPr>
              <w:t>Steel Tensile Strain</w:t>
            </w:r>
          </w:p>
        </w:tc>
        <w:tc>
          <w:tcPr>
            <w:tcW w:type="dxa" w:w="2835"/>
          </w:tcPr>
          <w:p>
            <w:r/>
            <w:r>
              <w:rPr>
                <w:rFonts w:ascii="Calibri" w:hAnsi="Calibri"/>
                <w:sz w:val="18"/>
              </w:rPr>
              <w:t>&gt; 800 µε</w:t>
            </w:r>
          </w:p>
        </w:tc>
        <w:tc>
          <w:tcPr>
            <w:tcW w:type="dxa" w:w="2835"/>
          </w:tcPr>
          <w:p>
            <w:r/>
            <w:r>
              <w:rPr>
                <w:rFonts w:ascii="Calibri" w:hAnsi="Calibri"/>
                <w:sz w:val="18"/>
              </w:rPr>
              <w:t>&gt; 1500 µε</w:t>
            </w:r>
          </w:p>
        </w:tc>
      </w:tr>
      <w:tr>
        <w:tc>
          <w:tcPr>
            <w:tcW w:type="dxa" w:w="3118"/>
            <w:shd w:fill="F0F3F7"/>
          </w:tcPr>
          <w:p>
            <w:r/>
            <w:r>
              <w:rPr>
                <w:rFonts w:ascii="Calibri" w:hAnsi="Calibri"/>
                <w:sz w:val="18"/>
              </w:rPr>
              <w:t>Acceleration (peak)</w:t>
            </w:r>
          </w:p>
        </w:tc>
        <w:tc>
          <w:tcPr>
            <w:tcW w:type="dxa" w:w="2835"/>
            <w:shd w:fill="F0F3F7"/>
          </w:tcPr>
          <w:p>
            <w:r/>
            <w:r>
              <w:rPr>
                <w:rFonts w:ascii="Calibri" w:hAnsi="Calibri"/>
                <w:sz w:val="18"/>
              </w:rPr>
              <w:t>&gt; 0.5 m/s²</w:t>
            </w:r>
          </w:p>
        </w:tc>
        <w:tc>
          <w:tcPr>
            <w:tcW w:type="dxa" w:w="2835"/>
            <w:shd w:fill="F0F3F7"/>
          </w:tcPr>
          <w:p>
            <w:r/>
            <w:r>
              <w:rPr>
                <w:rFonts w:ascii="Calibri" w:hAnsi="Calibri"/>
                <w:sz w:val="18"/>
              </w:rPr>
              <w:t>&gt; 2.0 m/s²</w:t>
            </w:r>
          </w:p>
        </w:tc>
      </w:tr>
      <w:tr>
        <w:tc>
          <w:tcPr>
            <w:tcW w:type="dxa" w:w="3118"/>
          </w:tcPr>
          <w:p>
            <w:r/>
            <w:r>
              <w:rPr>
                <w:rFonts w:ascii="Calibri" w:hAnsi="Calibri"/>
                <w:sz w:val="18"/>
              </w:rPr>
              <w:t>Bearing Displacement</w:t>
            </w:r>
          </w:p>
        </w:tc>
        <w:tc>
          <w:tcPr>
            <w:tcW w:type="dxa" w:w="2835"/>
          </w:tcPr>
          <w:p>
            <w:r/>
            <w:r>
              <w:rPr>
                <w:rFonts w:ascii="Calibri" w:hAnsi="Calibri"/>
                <w:sz w:val="18"/>
              </w:rPr>
              <w:t>&gt; 80% of design travel</w:t>
            </w:r>
          </w:p>
        </w:tc>
        <w:tc>
          <w:tcPr>
            <w:tcW w:type="dxa" w:w="2835"/>
          </w:tcPr>
          <w:p>
            <w:r/>
            <w:r>
              <w:rPr>
                <w:rFonts w:ascii="Calibri" w:hAnsi="Calibri"/>
                <w:sz w:val="18"/>
              </w:rPr>
              <w:t>&gt; 95% of design travel</w:t>
            </w:r>
          </w:p>
        </w:tc>
      </w:tr>
      <w:tr>
        <w:tc>
          <w:tcPr>
            <w:tcW w:type="dxa" w:w="3118"/>
            <w:shd w:fill="F0F3F7"/>
          </w:tcPr>
          <w:p>
            <w:r/>
            <w:r>
              <w:rPr>
                <w:rFonts w:ascii="Calibri" w:hAnsi="Calibri"/>
                <w:sz w:val="18"/>
              </w:rPr>
              <w:t>Tilt at Pier/Pylon</w:t>
            </w:r>
          </w:p>
        </w:tc>
        <w:tc>
          <w:tcPr>
            <w:tcW w:type="dxa" w:w="2835"/>
            <w:shd w:fill="F0F3F7"/>
          </w:tcPr>
          <w:p>
            <w:r/>
            <w:r>
              <w:rPr>
                <w:rFonts w:ascii="Calibri" w:hAnsi="Calibri"/>
                <w:sz w:val="18"/>
              </w:rPr>
              <w:t>&gt; 0.1°</w:t>
            </w:r>
          </w:p>
        </w:tc>
        <w:tc>
          <w:tcPr>
            <w:tcW w:type="dxa" w:w="2835"/>
            <w:shd w:fill="F0F3F7"/>
          </w:tcPr>
          <w:p>
            <w:r/>
            <w:r>
              <w:rPr>
                <w:rFonts w:ascii="Calibri" w:hAnsi="Calibri"/>
                <w:sz w:val="18"/>
              </w:rPr>
              <w:t>&gt; 0.3°</w:t>
            </w:r>
          </w:p>
        </w:tc>
      </w:tr>
      <w:tr>
        <w:tc>
          <w:tcPr>
            <w:tcW w:type="dxa" w:w="3118"/>
          </w:tcPr>
          <w:p>
            <w:r/>
            <w:r>
              <w:rPr>
                <w:rFonts w:ascii="Calibri" w:hAnsi="Calibri"/>
                <w:sz w:val="18"/>
              </w:rPr>
              <w:t>Scour Depth</w:t>
            </w:r>
          </w:p>
        </w:tc>
        <w:tc>
          <w:tcPr>
            <w:tcW w:type="dxa" w:w="2835"/>
          </w:tcPr>
          <w:p>
            <w:r/>
            <w:r>
              <w:rPr>
                <w:rFonts w:ascii="Calibri" w:hAnsi="Calibri"/>
                <w:sz w:val="18"/>
              </w:rPr>
              <w:t>&gt; 50% of design scour depth</w:t>
            </w:r>
          </w:p>
        </w:tc>
        <w:tc>
          <w:tcPr>
            <w:tcW w:type="dxa" w:w="2835"/>
          </w:tcPr>
          <w:p>
            <w:r/>
            <w:r>
              <w:rPr>
                <w:rFonts w:ascii="Calibri" w:hAnsi="Calibri"/>
                <w:sz w:val="18"/>
              </w:rPr>
              <w:t>&gt; 80% of design scour depth</w:t>
            </w:r>
          </w:p>
        </w:tc>
      </w:tr>
      <w:tr>
        <w:tc>
          <w:tcPr>
            <w:tcW w:type="dxa" w:w="3118"/>
            <w:shd w:fill="F0F3F7"/>
          </w:tcPr>
          <w:p>
            <w:r/>
            <w:r>
              <w:rPr>
                <w:rFonts w:ascii="Calibri" w:hAnsi="Calibri"/>
                <w:sz w:val="18"/>
              </w:rPr>
              <w:t>Corrosion Potential</w:t>
            </w:r>
          </w:p>
        </w:tc>
        <w:tc>
          <w:tcPr>
            <w:tcW w:type="dxa" w:w="2835"/>
            <w:shd w:fill="F0F3F7"/>
          </w:tcPr>
          <w:p>
            <w:r/>
            <w:r>
              <w:rPr>
                <w:rFonts w:ascii="Calibri" w:hAnsi="Calibri"/>
                <w:sz w:val="18"/>
              </w:rPr>
              <w:t>&lt; −250 mV</w:t>
            </w:r>
          </w:p>
        </w:tc>
        <w:tc>
          <w:tcPr>
            <w:tcW w:type="dxa" w:w="2835"/>
            <w:shd w:fill="F0F3F7"/>
          </w:tcPr>
          <w:p>
            <w:r/>
            <w:r>
              <w:rPr>
                <w:rFonts w:ascii="Calibri" w:hAnsi="Calibri"/>
                <w:sz w:val="18"/>
              </w:rPr>
              <w:t>&lt; −350 mV</w:t>
            </w:r>
          </w:p>
        </w:tc>
      </w:tr>
      <w:tr>
        <w:tc>
          <w:tcPr>
            <w:tcW w:type="dxa" w:w="3118"/>
          </w:tcPr>
          <w:p>
            <w:r/>
            <w:r>
              <w:rPr>
                <w:rFonts w:ascii="Calibri" w:hAnsi="Calibri"/>
                <w:sz w:val="18"/>
              </w:rPr>
              <w:t>Wind Speed (10-min mean)</w:t>
            </w:r>
          </w:p>
        </w:tc>
        <w:tc>
          <w:tcPr>
            <w:tcW w:type="dxa" w:w="2835"/>
          </w:tcPr>
          <w:p>
            <w:r/>
            <w:r>
              <w:rPr>
                <w:rFonts w:ascii="Calibri" w:hAnsi="Calibri"/>
                <w:sz w:val="18"/>
              </w:rPr>
              <w:t>&gt; 20 m/s</w:t>
            </w:r>
          </w:p>
        </w:tc>
        <w:tc>
          <w:tcPr>
            <w:tcW w:type="dxa" w:w="2835"/>
          </w:tcPr>
          <w:p>
            <w:r/>
            <w:r>
              <w:rPr>
                <w:rFonts w:ascii="Calibri" w:hAnsi="Calibri"/>
                <w:sz w:val="18"/>
              </w:rPr>
              <w:t>&gt; 36 m/s (cyclone warning)</w:t>
            </w:r>
          </w:p>
        </w:tc>
      </w:tr>
      <w:tr>
        <w:tc>
          <w:tcPr>
            <w:tcW w:type="dxa" w:w="3118"/>
            <w:shd w:fill="F0F3F7"/>
          </w:tcPr>
          <w:p>
            <w:r/>
            <w:r>
              <w:rPr>
                <w:rFonts w:ascii="Calibri" w:hAnsi="Calibri"/>
                <w:sz w:val="18"/>
              </w:rPr>
              <w:t>Rainfall Intensity</w:t>
            </w:r>
          </w:p>
        </w:tc>
        <w:tc>
          <w:tcPr>
            <w:tcW w:type="dxa" w:w="2835"/>
            <w:shd w:fill="F0F3F7"/>
          </w:tcPr>
          <w:p>
            <w:r/>
            <w:r>
              <w:rPr>
                <w:rFonts w:ascii="Calibri" w:hAnsi="Calibri"/>
                <w:sz w:val="18"/>
              </w:rPr>
              <w:t>&gt; 50 mm/h</w:t>
            </w:r>
          </w:p>
        </w:tc>
        <w:tc>
          <w:tcPr>
            <w:tcW w:type="dxa" w:w="2835"/>
            <w:shd w:fill="F0F3F7"/>
          </w:tcPr>
          <w:p>
            <w:r/>
            <w:r>
              <w:rPr>
                <w:rFonts w:ascii="Calibri" w:hAnsi="Calibri"/>
                <w:sz w:val="18"/>
              </w:rPr>
              <w:t>&gt; 100 mm/h</w:t>
            </w:r>
          </w:p>
        </w:tc>
      </w:tr>
    </w:tbl>
    <w:p/>
    <w:p>
      <w:pPr>
        <w:spacing w:before="160" w:after="160"/>
        <w:ind w:left="283"/>
      </w:pPr>
      <w:r>
        <w:rPr>
          <w:rFonts w:ascii="Calibri" w:hAnsi="Calibri"/>
          <w:b/>
          <w:color w:val="1976D2"/>
          <w:sz w:val="20"/>
        </w:rPr>
        <w:t xml:space="preserve">Note: </w:t>
      </w:r>
      <w:r>
        <w:rPr>
          <w:rFonts w:ascii="Calibri" w:hAnsi="Calibri"/>
          <w:i/>
          <w:sz w:val="20"/>
        </w:rPr>
        <w:t>Thresholds presented are default values. The detailed design consultant shall derive project-specific thresholds from the structural analysis and FE model. Alarm escalation matrix and contact directory shall be maintained current at all times.</w:t>
      </w:r>
    </w:p>
    <w:p>
      <w:pPr>
        <w:pStyle w:val="Heading3"/>
      </w:pPr>
      <w:r>
        <w:rPr>
          <w:rFonts w:ascii="Calibri" w:hAnsi="Calibri"/>
          <w:color w:val="2C5F2D"/>
          <w:sz w:val="28"/>
        </w:rPr>
        <w:t>8.4 Dashboard &amp; Visualisation</w:t>
      </w:r>
    </w:p>
    <w:p>
      <w:pPr>
        <w:pStyle w:val="ListBullet"/>
      </w:pPr>
      <w:r>
        <w:t>GIS-based map of all monitored bridges with colour-coded status</w:t>
      </w:r>
    </w:p>
    <w:p>
      <w:pPr>
        <w:pStyle w:val="ListBullet"/>
      </w:pPr>
      <w:r>
        <w:t>Real-time strip charts of all sensor channels with configurable time windows</w:t>
      </w:r>
    </w:p>
    <w:p>
      <w:pPr>
        <w:pStyle w:val="ListBullet"/>
      </w:pPr>
      <w:r>
        <w:t>3D view of the bridge model with sensor locations overlaid and live colour-mapped values</w:t>
      </w:r>
    </w:p>
    <w:p>
      <w:pPr>
        <w:pStyle w:val="ListBullet"/>
      </w:pPr>
      <w:r>
        <w:t>Modal animation for the latest OMA results</w:t>
      </w:r>
    </w:p>
    <w:p>
      <w:pPr>
        <w:pStyle w:val="ListBullet"/>
      </w:pPr>
      <w:r>
        <w:t>Trend analysis: weekly, monthly, annual comparisons</w:t>
      </w:r>
    </w:p>
    <w:p>
      <w:pPr>
        <w:pStyle w:val="ListBullet"/>
      </w:pPr>
      <w:r>
        <w:t>Automatic PDF report generation (daily, weekly, monthly, and post-event)</w:t>
      </w:r>
    </w:p>
    <w:p>
      <w:pPr>
        <w:pStyle w:val="ListBullet"/>
      </w:pPr>
      <w:r>
        <w:t>REST API for integration with NHAI BMS and third-party platforms</w:t>
      </w:r>
    </w:p>
    <w:p>
      <w:pPr>
        <w:pStyle w:val="ListBullet"/>
      </w:pPr>
      <w:r>
        <w:t>Role-based dashboards: Executive (summary KPIs), Engineer (technical detail), Maintenance (condition indices)</w:t>
      </w:r>
    </w:p>
    <w:p>
      <w:r>
        <w:br w:type="page"/>
      </w:r>
    </w:p>
    <w:p>
      <w:pPr>
        <w:pStyle w:val="Heading2"/>
      </w:pPr>
      <w:r>
        <w:rPr>
          <w:rFonts w:ascii="Calibri" w:hAnsi="Calibri"/>
          <w:color w:val="1A3C6D"/>
          <w:sz w:val="36"/>
        </w:rPr>
        <w:t>9. Installation, Commissioning &amp; Calibration</w:t>
      </w:r>
    </w:p>
    <w:p>
      <w:pPr>
        <w:pStyle w:val="Heading3"/>
      </w:pPr>
      <w:r>
        <w:rPr>
          <w:rFonts w:ascii="Calibri" w:hAnsi="Calibri"/>
          <w:color w:val="2C5F2D"/>
          <w:sz w:val="28"/>
        </w:rPr>
        <w:t>9.1 Pre-Installation Requirements</w:t>
      </w:r>
    </w:p>
    <w:p>
      <w:pPr>
        <w:pStyle w:val="ListNumber"/>
      </w:pPr>
      <w:r>
        <w:t>Detailed SHM Design Report including: sensor location drawings, cable routing diagrams, junction box locations, power budget, network topology, and integration test plan.</w:t>
      </w:r>
    </w:p>
    <w:p>
      <w:pPr>
        <w:pStyle w:val="ListNumber"/>
      </w:pPr>
      <w:r>
        <w:t>Baseline FE model of the bridge (as-built) verified against construction records.</w:t>
      </w:r>
    </w:p>
    <w:p>
      <w:pPr>
        <w:pStyle w:val="ListNumber"/>
      </w:pPr>
      <w:r>
        <w:t>Approval of installation methodology from the Engineer / Independent Engineer.</w:t>
      </w:r>
    </w:p>
    <w:p>
      <w:pPr>
        <w:pStyle w:val="ListNumber"/>
      </w:pPr>
      <w:r>
        <w:t>Factory Acceptance Test (FAT) report for all sensors and DAQ hardware.</w:t>
      </w:r>
    </w:p>
    <w:p>
      <w:pPr>
        <w:pStyle w:val="Heading3"/>
      </w:pPr>
      <w:r>
        <w:rPr>
          <w:rFonts w:ascii="Calibri" w:hAnsi="Calibri"/>
          <w:color w:val="2C5F2D"/>
          <w:sz w:val="28"/>
        </w:rPr>
        <w:t>9.2 Sensor Installation</w:t>
      </w:r>
    </w:p>
    <w:p>
      <w:pPr>
        <w:pStyle w:val="ListBullet"/>
      </w:pPr>
      <w:r>
        <w:t>Embedded Sensors: Installed during construction at pre-defined locations. Cables routed through conduits to nearest junction box. All conduits sloped to drain.</w:t>
      </w:r>
    </w:p>
    <w:p>
      <w:pPr>
        <w:pStyle w:val="ListBullet"/>
      </w:pPr>
      <w:r>
        <w:t>Surface-Mounted Sensors: Steel surfaces — grind to bright metal, epoxy adhesive or spot-weld mounting base. Concrete surfaces — grind smooth, epoxy mounting base with anchor bolts. All surfaces primed and sealed.</w:t>
      </w:r>
    </w:p>
    <w:p>
      <w:pPr>
        <w:pStyle w:val="ListBullet"/>
      </w:pPr>
      <w:r>
        <w:t>Cable Routing: All cables in galvanised steel conduit (ISI-marked) or HDPE duct; minimum 50 mm separation from power cables. Fibre optic in separate duct. Cable tags at every 5 m and at both ends with unique ID.</w:t>
      </w:r>
    </w:p>
    <w:p>
      <w:pPr>
        <w:pStyle w:val="ListBullet"/>
      </w:pPr>
      <w:r>
        <w:t>Junction Boxes: Stainless steel 304 (minimum 1.6 mm thick), IP68, with desiccant cartridge, cable glands, internal DIN rail with surge protection devices, and a unique QR-coded identifier.</w:t>
      </w:r>
    </w:p>
    <w:p>
      <w:pPr>
        <w:pStyle w:val="ListBullet"/>
      </w:pPr>
      <w:r>
        <w:t>Lightning Protection: Air termination rods at bridge high points; down-conductors bonded to bridge reinforcement; equipotential bonding of all SHM enclosures; SPDs at every junction box. Earth resistance &lt; 10 Ω per IS 3043.</w:t>
      </w:r>
    </w:p>
    <w:p>
      <w:pPr>
        <w:pStyle w:val="Heading3"/>
      </w:pPr>
      <w:r>
        <w:rPr>
          <w:rFonts w:ascii="Calibri" w:hAnsi="Calibri"/>
          <w:color w:val="2C5F2D"/>
          <w:sz w:val="28"/>
        </w:rPr>
        <w:t>9.3 Commissioning Tests</w:t>
      </w:r>
    </w:p>
    <w:tbl>
      <w:tblPr>
        <w:tblStyle w:val="TableGrid"/>
        <w:tblW w:type="auto" w:w="0"/>
        <w:jc w:val="center"/>
        <w:tblLook w:firstColumn="1" w:firstRow="1" w:lastColumn="0" w:lastRow="0" w:noHBand="0" w:noVBand="1" w:val="04A0"/>
      </w:tblPr>
      <w:tblGrid>
        <w:gridCol w:w="3024"/>
        <w:gridCol w:w="3024"/>
        <w:gridCol w:w="3024"/>
      </w:tblGrid>
      <w:tr>
        <w:tc>
          <w:tcPr>
            <w:tcW w:type="dxa" w:w="1984"/>
            <w:shd w:fill="1A3C6D"/>
          </w:tcPr>
          <w:p>
            <w:pPr>
              <w:jc w:val="left"/>
            </w:pPr>
            <w:r/>
            <w:r>
              <w:rPr>
                <w:rFonts w:ascii="Calibri" w:hAnsi="Calibri"/>
                <w:b/>
                <w:color w:val="FFFFFF"/>
                <w:sz w:val="18"/>
              </w:rPr>
              <w:t>Test</w:t>
            </w:r>
          </w:p>
        </w:tc>
        <w:tc>
          <w:tcPr>
            <w:tcW w:type="dxa" w:w="3402"/>
            <w:shd w:fill="1A3C6D"/>
          </w:tcPr>
          <w:p>
            <w:pPr>
              <w:jc w:val="left"/>
            </w:pPr>
            <w:r/>
            <w:r>
              <w:rPr>
                <w:rFonts w:ascii="Calibri" w:hAnsi="Calibri"/>
                <w:b/>
                <w:color w:val="FFFFFF"/>
                <w:sz w:val="18"/>
              </w:rPr>
              <w:t>Method</w:t>
            </w:r>
          </w:p>
        </w:tc>
        <w:tc>
          <w:tcPr>
            <w:tcW w:type="dxa" w:w="3402"/>
            <w:shd w:fill="1A3C6D"/>
          </w:tcPr>
          <w:p>
            <w:pPr>
              <w:jc w:val="left"/>
            </w:pPr>
            <w:r/>
            <w:r>
              <w:rPr>
                <w:rFonts w:ascii="Calibri" w:hAnsi="Calibri"/>
                <w:b/>
                <w:color w:val="FFFFFF"/>
                <w:sz w:val="18"/>
              </w:rPr>
              <w:t>Acceptance Criteria</w:t>
            </w:r>
          </w:p>
        </w:tc>
      </w:tr>
      <w:tr>
        <w:tc>
          <w:tcPr>
            <w:tcW w:type="dxa" w:w="1984"/>
          </w:tcPr>
          <w:p>
            <w:r/>
            <w:r>
              <w:rPr>
                <w:rFonts w:ascii="Calibri" w:hAnsi="Calibri"/>
                <w:sz w:val="18"/>
              </w:rPr>
              <w:t>Channel Continuity</w:t>
            </w:r>
          </w:p>
        </w:tc>
        <w:tc>
          <w:tcPr>
            <w:tcW w:type="dxa" w:w="3402"/>
          </w:tcPr>
          <w:p>
            <w:r/>
            <w:r>
              <w:rPr>
                <w:rFonts w:ascii="Calibri" w:hAnsi="Calibri"/>
                <w:sz w:val="18"/>
              </w:rPr>
              <w:t>Inject known signal at sensor; verify at DAQ</w:t>
            </w:r>
          </w:p>
        </w:tc>
        <w:tc>
          <w:tcPr>
            <w:tcW w:type="dxa" w:w="3402"/>
          </w:tcPr>
          <w:p>
            <w:r/>
            <w:r>
              <w:rPr>
                <w:rFonts w:ascii="Calibri" w:hAnsi="Calibri"/>
                <w:sz w:val="18"/>
              </w:rPr>
              <w:t>Signal within ±1% of injected value</w:t>
            </w:r>
          </w:p>
        </w:tc>
      </w:tr>
      <w:tr>
        <w:tc>
          <w:tcPr>
            <w:tcW w:type="dxa" w:w="1984"/>
            <w:shd w:fill="F0F3F7"/>
          </w:tcPr>
          <w:p>
            <w:r/>
            <w:r>
              <w:rPr>
                <w:rFonts w:ascii="Calibri" w:hAnsi="Calibri"/>
                <w:sz w:val="18"/>
              </w:rPr>
              <w:t>Ambient Vibration Test</w:t>
            </w:r>
          </w:p>
        </w:tc>
        <w:tc>
          <w:tcPr>
            <w:tcW w:type="dxa" w:w="3402"/>
            <w:shd w:fill="F0F3F7"/>
          </w:tcPr>
          <w:p>
            <w:r/>
            <w:r>
              <w:rPr>
                <w:rFonts w:ascii="Calibri" w:hAnsi="Calibri"/>
                <w:sz w:val="18"/>
              </w:rPr>
              <w:t>Record 1 hour of ambient data; perform OMA</w:t>
            </w:r>
          </w:p>
        </w:tc>
        <w:tc>
          <w:tcPr>
            <w:tcW w:type="dxa" w:w="3402"/>
            <w:shd w:fill="F0F3F7"/>
          </w:tcPr>
          <w:p>
            <w:r/>
            <w:r>
              <w:rPr>
                <w:rFonts w:ascii="Calibri" w:hAnsi="Calibri"/>
                <w:sz w:val="18"/>
              </w:rPr>
              <w:t>At least first 5 modes identified with MAC &gt; 0.95 (auto-MAC diagonal)</w:t>
            </w:r>
          </w:p>
        </w:tc>
      </w:tr>
      <w:tr>
        <w:tc>
          <w:tcPr>
            <w:tcW w:type="dxa" w:w="1984"/>
          </w:tcPr>
          <w:p>
            <w:r/>
            <w:r>
              <w:rPr>
                <w:rFonts w:ascii="Calibri" w:hAnsi="Calibri"/>
                <w:sz w:val="18"/>
              </w:rPr>
              <w:t>Controlled Load Test</w:t>
            </w:r>
          </w:p>
        </w:tc>
        <w:tc>
          <w:tcPr>
            <w:tcW w:type="dxa" w:w="3402"/>
          </w:tcPr>
          <w:p>
            <w:r/>
            <w:r>
              <w:rPr>
                <w:rFonts w:ascii="Calibri" w:hAnsi="Calibri"/>
                <w:sz w:val="18"/>
              </w:rPr>
              <w:t>Known-weight truck (calibrated) at defined positions; compare measured strain/deflection with FE prediction</w:t>
            </w:r>
          </w:p>
        </w:tc>
        <w:tc>
          <w:tcPr>
            <w:tcW w:type="dxa" w:w="3402"/>
          </w:tcPr>
          <w:p>
            <w:r/>
            <w:r>
              <w:rPr>
                <w:rFonts w:ascii="Calibri" w:hAnsi="Calibri"/>
                <w:sz w:val="18"/>
              </w:rPr>
              <w:t>Measured vs. predicted within ±15%</w:t>
            </w:r>
          </w:p>
        </w:tc>
      </w:tr>
      <w:tr>
        <w:tc>
          <w:tcPr>
            <w:tcW w:type="dxa" w:w="1984"/>
            <w:shd w:fill="F0F3F7"/>
          </w:tcPr>
          <w:p>
            <w:r/>
            <w:r>
              <w:rPr>
                <w:rFonts w:ascii="Calibri" w:hAnsi="Calibri"/>
                <w:sz w:val="18"/>
              </w:rPr>
              <w:t>Communication Test</w:t>
            </w:r>
          </w:p>
        </w:tc>
        <w:tc>
          <w:tcPr>
            <w:tcW w:type="dxa" w:w="3402"/>
            <w:shd w:fill="F0F3F7"/>
          </w:tcPr>
          <w:p>
            <w:r/>
            <w:r>
              <w:rPr>
                <w:rFonts w:ascii="Calibri" w:hAnsi="Calibri"/>
                <w:sz w:val="18"/>
              </w:rPr>
              <w:t>Verify end-to-end latency from sensor to cloud dashboard</w:t>
            </w:r>
          </w:p>
        </w:tc>
        <w:tc>
          <w:tcPr>
            <w:tcW w:type="dxa" w:w="3402"/>
            <w:shd w:fill="F0F3F7"/>
          </w:tcPr>
          <w:p>
            <w:r/>
            <w:r>
              <w:rPr>
                <w:rFonts w:ascii="Calibri" w:hAnsi="Calibri"/>
                <w:sz w:val="18"/>
              </w:rPr>
              <w:t>&lt; 10 seconds (static), &lt; 60 seconds (dynamic/event data)</w:t>
            </w:r>
          </w:p>
        </w:tc>
      </w:tr>
      <w:tr>
        <w:tc>
          <w:tcPr>
            <w:tcW w:type="dxa" w:w="1984"/>
          </w:tcPr>
          <w:p>
            <w:r/>
            <w:r>
              <w:rPr>
                <w:rFonts w:ascii="Calibri" w:hAnsi="Calibri"/>
                <w:sz w:val="18"/>
              </w:rPr>
              <w:t>Alarm Test</w:t>
            </w:r>
          </w:p>
        </w:tc>
        <w:tc>
          <w:tcPr>
            <w:tcW w:type="dxa" w:w="3402"/>
          </w:tcPr>
          <w:p>
            <w:r/>
            <w:r>
              <w:rPr>
                <w:rFonts w:ascii="Calibri" w:hAnsi="Calibri"/>
                <w:sz w:val="18"/>
              </w:rPr>
              <w:t>Simulate threshold breach by injecting synthetic data</w:t>
            </w:r>
          </w:p>
        </w:tc>
        <w:tc>
          <w:tcPr>
            <w:tcW w:type="dxa" w:w="3402"/>
          </w:tcPr>
          <w:p>
            <w:r/>
            <w:r>
              <w:rPr>
                <w:rFonts w:ascii="Calibri" w:hAnsi="Calibri"/>
                <w:sz w:val="18"/>
              </w:rPr>
              <w:t>SMS/email delivered within specified response time</w:t>
            </w:r>
          </w:p>
        </w:tc>
      </w:tr>
      <w:tr>
        <w:tc>
          <w:tcPr>
            <w:tcW w:type="dxa" w:w="1984"/>
            <w:shd w:fill="F0F3F7"/>
          </w:tcPr>
          <w:p>
            <w:r/>
            <w:r>
              <w:rPr>
                <w:rFonts w:ascii="Calibri" w:hAnsi="Calibri"/>
                <w:sz w:val="18"/>
              </w:rPr>
              <w:t>UPS Endurance Test</w:t>
            </w:r>
          </w:p>
        </w:tc>
        <w:tc>
          <w:tcPr>
            <w:tcW w:type="dxa" w:w="3402"/>
            <w:shd w:fill="F0F3F7"/>
          </w:tcPr>
          <w:p>
            <w:r/>
            <w:r>
              <w:rPr>
                <w:rFonts w:ascii="Calibri" w:hAnsi="Calibri"/>
                <w:sz w:val="18"/>
              </w:rPr>
              <w:t>Disconnect mains; verify system operation on battery</w:t>
            </w:r>
          </w:p>
        </w:tc>
        <w:tc>
          <w:tcPr>
            <w:tcW w:type="dxa" w:w="3402"/>
            <w:shd w:fill="F0F3F7"/>
          </w:tcPr>
          <w:p>
            <w:r/>
            <w:r>
              <w:rPr>
                <w:rFonts w:ascii="Calibri" w:hAnsi="Calibri"/>
                <w:sz w:val="18"/>
              </w:rPr>
              <w:t>Minimum 4 hours continuous operation</w:t>
            </w:r>
          </w:p>
        </w:tc>
      </w:tr>
      <w:tr>
        <w:tc>
          <w:tcPr>
            <w:tcW w:type="dxa" w:w="1984"/>
          </w:tcPr>
          <w:p>
            <w:r/>
            <w:r>
              <w:rPr>
                <w:rFonts w:ascii="Calibri" w:hAnsi="Calibri"/>
                <w:sz w:val="18"/>
              </w:rPr>
              <w:t>Failover Test</w:t>
            </w:r>
          </w:p>
        </w:tc>
        <w:tc>
          <w:tcPr>
            <w:tcW w:type="dxa" w:w="3402"/>
          </w:tcPr>
          <w:p>
            <w:r/>
            <w:r>
              <w:rPr>
                <w:rFonts w:ascii="Calibri" w:hAnsi="Calibri"/>
                <w:sz w:val="18"/>
              </w:rPr>
              <w:t>Break primary fibre link; verify redundant path auto-switch</w:t>
            </w:r>
          </w:p>
        </w:tc>
        <w:tc>
          <w:tcPr>
            <w:tcW w:type="dxa" w:w="3402"/>
          </w:tcPr>
          <w:p>
            <w:r/>
            <w:r>
              <w:rPr>
                <w:rFonts w:ascii="Calibri" w:hAnsi="Calibri"/>
                <w:sz w:val="18"/>
              </w:rPr>
              <w:t>Data gap &lt; 10 seconds</w:t>
            </w:r>
          </w:p>
        </w:tc>
      </w:tr>
    </w:tbl>
    <w:p/>
    <w:p>
      <w:pPr>
        <w:pStyle w:val="Heading3"/>
      </w:pPr>
      <w:r>
        <w:rPr>
          <w:rFonts w:ascii="Calibri" w:hAnsi="Calibri"/>
          <w:color w:val="2C5F2D"/>
          <w:sz w:val="28"/>
        </w:rPr>
        <w:t>9.4 Baseline &amp; Acceptable Range</w:t>
      </w:r>
    </w:p>
    <w:p>
      <w:r>
        <w:rPr>
          <w:rFonts w:ascii="Calibri" w:hAnsi="Calibri"/>
          <w:b w:val="0"/>
          <w:i w:val="0"/>
          <w:sz w:val="22"/>
        </w:rPr>
        <w:t>Following commissioning, the system shall operate in baseline-acquisition mode for 90 days. During this period, no alerts shall be triggered (except self-diagnostics). At the end of the baseline period, the statistical baseline (mean, standard deviation, diurnal/seasonal envelopes) for each sensor shall be computed, reviewed, and frozen as the reference. Thresholds shall be adjusted if the baseline reveals site-specific offsets.</w:t>
      </w:r>
    </w:p>
    <w:p>
      <w:r>
        <w:br w:type="page"/>
      </w:r>
    </w:p>
    <w:p>
      <w:pPr>
        <w:pStyle w:val="Heading2"/>
      </w:pPr>
      <w:r>
        <w:rPr>
          <w:rFonts w:ascii="Calibri" w:hAnsi="Calibri"/>
          <w:color w:val="1A3C6D"/>
          <w:sz w:val="36"/>
        </w:rPr>
        <w:t>10. Operation, Maintenance &amp; Lifecycle Management</w:t>
      </w:r>
    </w:p>
    <w:p>
      <w:pPr>
        <w:pStyle w:val="Heading3"/>
      </w:pPr>
      <w:r>
        <w:rPr>
          <w:rFonts w:ascii="Calibri" w:hAnsi="Calibri"/>
          <w:color w:val="2C5F2D"/>
          <w:sz w:val="28"/>
        </w:rPr>
        <w:t>10.1 Warranty</w:t>
      </w:r>
    </w:p>
    <w:p>
      <w:pPr>
        <w:pStyle w:val="ListBullet"/>
      </w:pPr>
      <w:r>
        <w:t>Sensors: 5 years from commissioning for surface-mounted; 10 years for embedded (manufacturer warranty).</w:t>
      </w:r>
    </w:p>
    <w:p>
      <w:pPr>
        <w:pStyle w:val="ListBullet"/>
      </w:pPr>
      <w:r>
        <w:t>DAQ Hardware: 3 years.</w:t>
      </w:r>
    </w:p>
    <w:p>
      <w:pPr>
        <w:pStyle w:val="ListBullet"/>
      </w:pPr>
      <w:r>
        <w:t>Software: 2 years with bug fixes and security patches.</w:t>
      </w:r>
    </w:p>
    <w:p>
      <w:pPr>
        <w:pStyle w:val="Heading3"/>
      </w:pPr>
      <w:r>
        <w:rPr>
          <w:rFonts w:ascii="Calibri" w:hAnsi="Calibri"/>
          <w:color w:val="2C5F2D"/>
          <w:sz w:val="28"/>
        </w:rPr>
        <w:t>10.2 Operations &amp; Maintenance (O&amp;M) Contract</w:t>
      </w:r>
    </w:p>
    <w:p>
      <w:r>
        <w:rPr>
          <w:rFonts w:ascii="Calibri" w:hAnsi="Calibri"/>
          <w:b w:val="0"/>
          <w:i w:val="0"/>
          <w:sz w:val="22"/>
        </w:rPr>
        <w:t>For DBFOT / Annuity / HAM projects, the SHM O&amp;M shall be included in the concession period. For EPC projects, a separate 5-year O&amp;M contract. Minimum requirements:</w:t>
      </w:r>
    </w:p>
    <w:tbl>
      <w:tblPr>
        <w:tblStyle w:val="TableGrid"/>
        <w:tblW w:type="auto" w:w="0"/>
        <w:jc w:val="center"/>
        <w:tblLook w:firstColumn="1" w:firstRow="1" w:lastColumn="0" w:lastRow="0" w:noHBand="0" w:noVBand="1" w:val="04A0"/>
      </w:tblPr>
      <w:tblGrid>
        <w:gridCol w:w="3024"/>
        <w:gridCol w:w="3024"/>
        <w:gridCol w:w="3024"/>
      </w:tblGrid>
      <w:tr>
        <w:tc>
          <w:tcPr>
            <w:tcW w:type="dxa" w:w="3402"/>
            <w:shd w:fill="1A3C6D"/>
          </w:tcPr>
          <w:p>
            <w:pPr>
              <w:jc w:val="left"/>
            </w:pPr>
            <w:r/>
            <w:r>
              <w:rPr>
                <w:rFonts w:ascii="Calibri" w:hAnsi="Calibri"/>
                <w:b/>
                <w:color w:val="FFFFFF"/>
                <w:sz w:val="18"/>
              </w:rPr>
              <w:t>Activity</w:t>
            </w:r>
          </w:p>
        </w:tc>
        <w:tc>
          <w:tcPr>
            <w:tcW w:type="dxa" w:w="2835"/>
            <w:shd w:fill="1A3C6D"/>
          </w:tcPr>
          <w:p>
            <w:pPr>
              <w:jc w:val="left"/>
            </w:pPr>
            <w:r/>
            <w:r>
              <w:rPr>
                <w:rFonts w:ascii="Calibri" w:hAnsi="Calibri"/>
                <w:b/>
                <w:color w:val="FFFFFF"/>
                <w:sz w:val="18"/>
              </w:rPr>
              <w:t>Frequency</w:t>
            </w:r>
          </w:p>
        </w:tc>
        <w:tc>
          <w:tcPr>
            <w:tcW w:type="dxa" w:w="2551"/>
            <w:shd w:fill="1A3C6D"/>
          </w:tcPr>
          <w:p>
            <w:pPr>
              <w:jc w:val="left"/>
            </w:pPr>
            <w:r/>
            <w:r>
              <w:rPr>
                <w:rFonts w:ascii="Calibri" w:hAnsi="Calibri"/>
                <w:b/>
                <w:color w:val="FFFFFF"/>
                <w:sz w:val="18"/>
              </w:rPr>
              <w:t>Responsibility</w:t>
            </w:r>
          </w:p>
        </w:tc>
      </w:tr>
      <w:tr>
        <w:tc>
          <w:tcPr>
            <w:tcW w:type="dxa" w:w="3402"/>
          </w:tcPr>
          <w:p>
            <w:r/>
            <w:r>
              <w:rPr>
                <w:rFonts w:ascii="Calibri" w:hAnsi="Calibri"/>
                <w:sz w:val="18"/>
              </w:rPr>
              <w:t>Sensor health check (diagnostics)</w:t>
            </w:r>
          </w:p>
        </w:tc>
        <w:tc>
          <w:tcPr>
            <w:tcW w:type="dxa" w:w="2835"/>
          </w:tcPr>
          <w:p>
            <w:r/>
            <w:r>
              <w:rPr>
                <w:rFonts w:ascii="Calibri" w:hAnsi="Calibri"/>
                <w:sz w:val="18"/>
              </w:rPr>
              <w:t>Daily (automated); weekly (manual review)</w:t>
            </w:r>
          </w:p>
        </w:tc>
        <w:tc>
          <w:tcPr>
            <w:tcW w:type="dxa" w:w="2551"/>
          </w:tcPr>
          <w:p>
            <w:r/>
            <w:r>
              <w:rPr>
                <w:rFonts w:ascii="Calibri" w:hAnsi="Calibri"/>
                <w:sz w:val="18"/>
              </w:rPr>
              <w:t>System integrator</w:t>
            </w:r>
          </w:p>
        </w:tc>
      </w:tr>
      <w:tr>
        <w:tc>
          <w:tcPr>
            <w:tcW w:type="dxa" w:w="3402"/>
            <w:shd w:fill="F0F3F7"/>
          </w:tcPr>
          <w:p>
            <w:r/>
            <w:r>
              <w:rPr>
                <w:rFonts w:ascii="Calibri" w:hAnsi="Calibri"/>
                <w:sz w:val="18"/>
              </w:rPr>
              <w:t>DAQ / server health check</w:t>
            </w:r>
          </w:p>
        </w:tc>
        <w:tc>
          <w:tcPr>
            <w:tcW w:type="dxa" w:w="2835"/>
            <w:shd w:fill="F0F3F7"/>
          </w:tcPr>
          <w:p>
            <w:r/>
            <w:r>
              <w:rPr>
                <w:rFonts w:ascii="Calibri" w:hAnsi="Calibri"/>
                <w:sz w:val="18"/>
              </w:rPr>
              <w:t>Daily automated report</w:t>
            </w:r>
          </w:p>
        </w:tc>
        <w:tc>
          <w:tcPr>
            <w:tcW w:type="dxa" w:w="2551"/>
            <w:shd w:fill="F0F3F7"/>
          </w:tcPr>
          <w:p>
            <w:r/>
            <w:r>
              <w:rPr>
                <w:rFonts w:ascii="Calibri" w:hAnsi="Calibri"/>
                <w:sz w:val="18"/>
              </w:rPr>
              <w:t>System integrator</w:t>
            </w:r>
          </w:p>
        </w:tc>
      </w:tr>
      <w:tr>
        <w:tc>
          <w:tcPr>
            <w:tcW w:type="dxa" w:w="3402"/>
          </w:tcPr>
          <w:p>
            <w:r/>
            <w:r>
              <w:rPr>
                <w:rFonts w:ascii="Calibri" w:hAnsi="Calibri"/>
                <w:sz w:val="18"/>
              </w:rPr>
              <w:t>Field inspection of enclosures, cables, SPDs</w:t>
            </w:r>
          </w:p>
        </w:tc>
        <w:tc>
          <w:tcPr>
            <w:tcW w:type="dxa" w:w="2835"/>
          </w:tcPr>
          <w:p>
            <w:r/>
            <w:r>
              <w:rPr>
                <w:rFonts w:ascii="Calibri" w:hAnsi="Calibri"/>
                <w:sz w:val="18"/>
              </w:rPr>
              <w:t>Monthly</w:t>
            </w:r>
          </w:p>
        </w:tc>
        <w:tc>
          <w:tcPr>
            <w:tcW w:type="dxa" w:w="2551"/>
          </w:tcPr>
          <w:p>
            <w:r/>
            <w:r>
              <w:rPr>
                <w:rFonts w:ascii="Calibri" w:hAnsi="Calibri"/>
                <w:sz w:val="18"/>
              </w:rPr>
              <w:t>O&amp;M contractor</w:t>
            </w:r>
          </w:p>
        </w:tc>
      </w:tr>
      <w:tr>
        <w:tc>
          <w:tcPr>
            <w:tcW w:type="dxa" w:w="3402"/>
            <w:shd w:fill="F0F3F7"/>
          </w:tcPr>
          <w:p>
            <w:r/>
            <w:r>
              <w:rPr>
                <w:rFonts w:ascii="Calibri" w:hAnsi="Calibri"/>
                <w:sz w:val="18"/>
              </w:rPr>
              <w:t>Sensor recalibration (critical channels)</w:t>
            </w:r>
          </w:p>
        </w:tc>
        <w:tc>
          <w:tcPr>
            <w:tcW w:type="dxa" w:w="2835"/>
            <w:shd w:fill="F0F3F7"/>
          </w:tcPr>
          <w:p>
            <w:r/>
            <w:r>
              <w:rPr>
                <w:rFonts w:ascii="Calibri" w:hAnsi="Calibri"/>
                <w:sz w:val="18"/>
              </w:rPr>
              <w:t>12-monthly</w:t>
            </w:r>
          </w:p>
        </w:tc>
        <w:tc>
          <w:tcPr>
            <w:tcW w:type="dxa" w:w="2551"/>
            <w:shd w:fill="F0F3F7"/>
          </w:tcPr>
          <w:p>
            <w:r/>
            <w:r>
              <w:rPr>
                <w:rFonts w:ascii="Calibri" w:hAnsi="Calibri"/>
                <w:sz w:val="18"/>
              </w:rPr>
              <w:t>System integrator</w:t>
            </w:r>
          </w:p>
        </w:tc>
      </w:tr>
      <w:tr>
        <w:tc>
          <w:tcPr>
            <w:tcW w:type="dxa" w:w="3402"/>
          </w:tcPr>
          <w:p>
            <w:r/>
            <w:r>
              <w:rPr>
                <w:rFonts w:ascii="Calibri" w:hAnsi="Calibri"/>
                <w:sz w:val="18"/>
              </w:rPr>
              <w:t>Sensor recalibration (all channels)</w:t>
            </w:r>
          </w:p>
        </w:tc>
        <w:tc>
          <w:tcPr>
            <w:tcW w:type="dxa" w:w="2835"/>
          </w:tcPr>
          <w:p>
            <w:r/>
            <w:r>
              <w:rPr>
                <w:rFonts w:ascii="Calibri" w:hAnsi="Calibri"/>
                <w:sz w:val="18"/>
              </w:rPr>
              <w:t>24-monthly</w:t>
            </w:r>
          </w:p>
        </w:tc>
        <w:tc>
          <w:tcPr>
            <w:tcW w:type="dxa" w:w="2551"/>
          </w:tcPr>
          <w:p>
            <w:r/>
            <w:r>
              <w:rPr>
                <w:rFonts w:ascii="Calibri" w:hAnsi="Calibri"/>
                <w:sz w:val="18"/>
              </w:rPr>
              <w:t>NABL lab / manufacturer</w:t>
            </w:r>
          </w:p>
        </w:tc>
      </w:tr>
      <w:tr>
        <w:tc>
          <w:tcPr>
            <w:tcW w:type="dxa" w:w="3402"/>
            <w:shd w:fill="F0F3F7"/>
          </w:tcPr>
          <w:p>
            <w:r/>
            <w:r>
              <w:rPr>
                <w:rFonts w:ascii="Calibri" w:hAnsi="Calibri"/>
                <w:sz w:val="18"/>
              </w:rPr>
              <w:t>Database backup verification</w:t>
            </w:r>
          </w:p>
        </w:tc>
        <w:tc>
          <w:tcPr>
            <w:tcW w:type="dxa" w:w="2835"/>
            <w:shd w:fill="F0F3F7"/>
          </w:tcPr>
          <w:p>
            <w:r/>
            <w:r>
              <w:rPr>
                <w:rFonts w:ascii="Calibri" w:hAnsi="Calibri"/>
                <w:sz w:val="18"/>
              </w:rPr>
              <w:t>Monthly</w:t>
            </w:r>
          </w:p>
        </w:tc>
        <w:tc>
          <w:tcPr>
            <w:tcW w:type="dxa" w:w="2551"/>
            <w:shd w:fill="F0F3F7"/>
          </w:tcPr>
          <w:p>
            <w:r/>
            <w:r>
              <w:rPr>
                <w:rFonts w:ascii="Calibri" w:hAnsi="Calibri"/>
                <w:sz w:val="18"/>
              </w:rPr>
              <w:t>System integrator</w:t>
            </w:r>
          </w:p>
        </w:tc>
      </w:tr>
      <w:tr>
        <w:tc>
          <w:tcPr>
            <w:tcW w:type="dxa" w:w="3402"/>
          </w:tcPr>
          <w:p>
            <w:r/>
            <w:r>
              <w:rPr>
                <w:rFonts w:ascii="Calibri" w:hAnsi="Calibri"/>
                <w:sz w:val="18"/>
              </w:rPr>
              <w:t>Software update / security patch</w:t>
            </w:r>
          </w:p>
        </w:tc>
        <w:tc>
          <w:tcPr>
            <w:tcW w:type="dxa" w:w="2835"/>
          </w:tcPr>
          <w:p>
            <w:r/>
            <w:r>
              <w:rPr>
                <w:rFonts w:ascii="Calibri" w:hAnsi="Calibri"/>
                <w:sz w:val="18"/>
              </w:rPr>
              <w:t>As released by vendor</w:t>
            </w:r>
          </w:p>
        </w:tc>
        <w:tc>
          <w:tcPr>
            <w:tcW w:type="dxa" w:w="2551"/>
          </w:tcPr>
          <w:p>
            <w:r/>
            <w:r>
              <w:rPr>
                <w:rFonts w:ascii="Calibri" w:hAnsi="Calibri"/>
                <w:sz w:val="18"/>
              </w:rPr>
              <w:t>System integrator</w:t>
            </w:r>
          </w:p>
        </w:tc>
      </w:tr>
      <w:tr>
        <w:tc>
          <w:tcPr>
            <w:tcW w:type="dxa" w:w="3402"/>
            <w:shd w:fill="F0F3F7"/>
          </w:tcPr>
          <w:p>
            <w:r/>
            <w:r>
              <w:rPr>
                <w:rFonts w:ascii="Calibri" w:hAnsi="Calibri"/>
                <w:sz w:val="18"/>
              </w:rPr>
              <w:t>FE model update using SHM data</w:t>
            </w:r>
          </w:p>
        </w:tc>
        <w:tc>
          <w:tcPr>
            <w:tcW w:type="dxa" w:w="2835"/>
            <w:shd w:fill="F0F3F7"/>
          </w:tcPr>
          <w:p>
            <w:r/>
            <w:r>
              <w:rPr>
                <w:rFonts w:ascii="Calibri" w:hAnsi="Calibri"/>
                <w:sz w:val="18"/>
              </w:rPr>
              <w:t>6-monthly</w:t>
            </w:r>
          </w:p>
        </w:tc>
        <w:tc>
          <w:tcPr>
            <w:tcW w:type="dxa" w:w="2551"/>
            <w:shd w:fill="F0F3F7"/>
          </w:tcPr>
          <w:p>
            <w:r/>
            <w:r>
              <w:rPr>
                <w:rFonts w:ascii="Calibri" w:hAnsi="Calibri"/>
                <w:sz w:val="18"/>
              </w:rPr>
              <w:t>Design consultant</w:t>
            </w:r>
          </w:p>
        </w:tc>
      </w:tr>
      <w:tr>
        <w:tc>
          <w:tcPr>
            <w:tcW w:type="dxa" w:w="3402"/>
          </w:tcPr>
          <w:p>
            <w:r/>
            <w:r>
              <w:rPr>
                <w:rFonts w:ascii="Calibri" w:hAnsi="Calibri"/>
                <w:sz w:val="18"/>
              </w:rPr>
              <w:t>System audit (third-party)</w:t>
            </w:r>
          </w:p>
        </w:tc>
        <w:tc>
          <w:tcPr>
            <w:tcW w:type="dxa" w:w="2835"/>
          </w:tcPr>
          <w:p>
            <w:r/>
            <w:r>
              <w:rPr>
                <w:rFonts w:ascii="Calibri" w:hAnsi="Calibri"/>
                <w:sz w:val="18"/>
              </w:rPr>
              <w:t>Annual</w:t>
            </w:r>
          </w:p>
        </w:tc>
        <w:tc>
          <w:tcPr>
            <w:tcW w:type="dxa" w:w="2551"/>
          </w:tcPr>
          <w:p>
            <w:r/>
            <w:r>
              <w:rPr>
                <w:rFonts w:ascii="Calibri" w:hAnsi="Calibri"/>
                <w:sz w:val="18"/>
              </w:rPr>
              <w:t>Independent engineer</w:t>
            </w:r>
          </w:p>
        </w:tc>
      </w:tr>
      <w:tr>
        <w:tc>
          <w:tcPr>
            <w:tcW w:type="dxa" w:w="3402"/>
            <w:shd w:fill="F0F3F7"/>
          </w:tcPr>
          <w:p>
            <w:r/>
            <w:r>
              <w:rPr>
                <w:rFonts w:ascii="Calibri" w:hAnsi="Calibri"/>
                <w:sz w:val="18"/>
              </w:rPr>
              <w:t>OMA re-baseline</w:t>
            </w:r>
          </w:p>
        </w:tc>
        <w:tc>
          <w:tcPr>
            <w:tcW w:type="dxa" w:w="2835"/>
            <w:shd w:fill="F0F3F7"/>
          </w:tcPr>
          <w:p>
            <w:r/>
            <w:r>
              <w:rPr>
                <w:rFonts w:ascii="Calibri" w:hAnsi="Calibri"/>
                <w:sz w:val="18"/>
              </w:rPr>
              <w:t>Annually (post-monsoon)</w:t>
            </w:r>
          </w:p>
        </w:tc>
        <w:tc>
          <w:tcPr>
            <w:tcW w:type="dxa" w:w="2551"/>
            <w:shd w:fill="F0F3F7"/>
          </w:tcPr>
          <w:p>
            <w:r/>
            <w:r>
              <w:rPr>
                <w:rFonts w:ascii="Calibri" w:hAnsi="Calibri"/>
                <w:sz w:val="18"/>
              </w:rPr>
              <w:t>System integrator</w:t>
            </w:r>
          </w:p>
        </w:tc>
      </w:tr>
    </w:tbl>
    <w:p/>
    <w:p>
      <w:pPr>
        <w:pStyle w:val="Heading3"/>
      </w:pPr>
      <w:r>
        <w:rPr>
          <w:rFonts w:ascii="Calibri" w:hAnsi="Calibri"/>
          <w:color w:val="2C5F2D"/>
          <w:sz w:val="28"/>
        </w:rPr>
        <w:t>10.3 Data Ownership &amp; Handover</w:t>
      </w:r>
    </w:p>
    <w:p>
      <w:r>
        <w:rPr>
          <w:rFonts w:ascii="Calibri" w:hAnsi="Calibri"/>
          <w:b w:val="0"/>
          <w:i w:val="0"/>
          <w:sz w:val="22"/>
        </w:rPr>
        <w:t>All SHM data collected during the concession or O&amp;M period is the property of the Authority (NHAI / MORTH / State PWD). At the end of the contract term, the contractor shall hand over:</w:t>
      </w:r>
    </w:p>
    <w:p>
      <w:pPr>
        <w:pStyle w:val="ListBullet"/>
      </w:pPr>
      <w:r>
        <w:t>Complete raw and processed data archive (on HDD/SSD + cloud export)</w:t>
      </w:r>
    </w:p>
    <w:p>
      <w:pPr>
        <w:pStyle w:val="ListBullet"/>
      </w:pPr>
      <w:r>
        <w:t>All calibration certificates</w:t>
      </w:r>
    </w:p>
    <w:p>
      <w:pPr>
        <w:pStyle w:val="ListBullet"/>
      </w:pPr>
      <w:r>
        <w:t>As-maintained drawings of the SHM system (sensor locations, cable routes, IP addresses)</w:t>
      </w:r>
    </w:p>
    <w:p>
      <w:pPr>
        <w:pStyle w:val="ListBullet"/>
      </w:pPr>
      <w:r>
        <w:t>Source code or admin credentials for any proprietary analytics software</w:t>
      </w:r>
    </w:p>
    <w:p>
      <w:pPr>
        <w:pStyle w:val="ListBullet"/>
      </w:pPr>
      <w:r>
        <w:t>Training for Authority personnel (minimum 40 man-hours)</w:t>
      </w:r>
    </w:p>
    <w:p>
      <w:pPr>
        <w:pStyle w:val="Heading3"/>
      </w:pPr>
      <w:r>
        <w:rPr>
          <w:rFonts w:ascii="Calibri" w:hAnsi="Calibri"/>
          <w:color w:val="2C5F2D"/>
          <w:sz w:val="28"/>
        </w:rPr>
        <w:t>10.4 Sensor Replacement Protocol</w:t>
      </w:r>
    </w:p>
    <w:p>
      <w:pPr>
        <w:pStyle w:val="ListNumber"/>
      </w:pPr>
      <w:r>
        <w:t>Failed sensor identified via diagnostics or during calibration</w:t>
      </w:r>
    </w:p>
    <w:p>
      <w:pPr>
        <w:pStyle w:val="ListNumber"/>
      </w:pPr>
      <w:r>
        <w:t>Replacement sensor of identical (or approved equivalent) specification procured</w:t>
      </w:r>
    </w:p>
    <w:p>
      <w:pPr>
        <w:pStyle w:val="ListNumber"/>
      </w:pPr>
      <w:r>
        <w:t>Replacement sensor calibrated at NABL-accredited lab</w:t>
      </w:r>
    </w:p>
    <w:p>
      <w:pPr>
        <w:pStyle w:val="ListNumber"/>
      </w:pPr>
      <w:r>
        <w:t>Installed at exactly the same location; cross-calibrated against adjacent functioning channel</w:t>
      </w:r>
    </w:p>
    <w:p>
      <w:pPr>
        <w:pStyle w:val="ListNumber"/>
      </w:pPr>
      <w:r>
        <w:t>Re-baseline period of 30 days before data is merged into long-term trend</w:t>
      </w:r>
    </w:p>
    <w:p>
      <w:pPr>
        <w:pStyle w:val="ListNumber"/>
      </w:pPr>
      <w:r>
        <w:t>Non-conformance report issued if MTBF falls below specified value</w:t>
      </w:r>
    </w:p>
    <w:p>
      <w:r>
        <w:br w:type="page"/>
      </w:r>
    </w:p>
    <w:p>
      <w:pPr>
        <w:pStyle w:val="Heading2"/>
      </w:pPr>
      <w:r>
        <w:rPr>
          <w:rFonts w:ascii="Calibri" w:hAnsi="Calibri"/>
          <w:color w:val="1A3C6D"/>
          <w:sz w:val="36"/>
        </w:rPr>
        <w:t>11. Reporting, Compliance &amp; Documentation</w:t>
      </w:r>
    </w:p>
    <w:p>
      <w:pPr>
        <w:pStyle w:val="Heading3"/>
      </w:pPr>
      <w:r>
        <w:rPr>
          <w:rFonts w:ascii="Calibri" w:hAnsi="Calibri"/>
          <w:color w:val="2C5F2D"/>
          <w:sz w:val="28"/>
        </w:rPr>
        <w:t>11.1 Automated Reports</w:t>
      </w:r>
    </w:p>
    <w:tbl>
      <w:tblPr>
        <w:tblStyle w:val="TableGrid"/>
        <w:tblW w:type="auto" w:w="0"/>
        <w:jc w:val="center"/>
        <w:tblLook w:firstColumn="1" w:firstRow="1" w:lastColumn="0" w:lastRow="0" w:noHBand="0" w:noVBand="1" w:val="04A0"/>
      </w:tblPr>
      <w:tblGrid>
        <w:gridCol w:w="3024"/>
        <w:gridCol w:w="3024"/>
        <w:gridCol w:w="3024"/>
      </w:tblGrid>
      <w:tr>
        <w:tc>
          <w:tcPr>
            <w:tcW w:type="dxa" w:w="1984"/>
            <w:shd w:fill="1A3C6D"/>
          </w:tcPr>
          <w:p>
            <w:pPr>
              <w:jc w:val="left"/>
            </w:pPr>
            <w:r/>
            <w:r>
              <w:rPr>
                <w:rFonts w:ascii="Calibri" w:hAnsi="Calibri"/>
                <w:b/>
                <w:color w:val="FFFFFF"/>
                <w:sz w:val="18"/>
              </w:rPr>
              <w:t>Report</w:t>
            </w:r>
          </w:p>
        </w:tc>
        <w:tc>
          <w:tcPr>
            <w:tcW w:type="dxa" w:w="1984"/>
            <w:shd w:fill="1A3C6D"/>
          </w:tcPr>
          <w:p>
            <w:pPr>
              <w:jc w:val="left"/>
            </w:pPr>
            <w:r/>
            <w:r>
              <w:rPr>
                <w:rFonts w:ascii="Calibri" w:hAnsi="Calibri"/>
                <w:b/>
                <w:color w:val="FFFFFF"/>
                <w:sz w:val="18"/>
              </w:rPr>
              <w:t>Frequency</w:t>
            </w:r>
          </w:p>
        </w:tc>
        <w:tc>
          <w:tcPr>
            <w:tcW w:type="dxa" w:w="4819"/>
            <w:shd w:fill="1A3C6D"/>
          </w:tcPr>
          <w:p>
            <w:pPr>
              <w:jc w:val="left"/>
            </w:pPr>
            <w:r/>
            <w:r>
              <w:rPr>
                <w:rFonts w:ascii="Calibri" w:hAnsi="Calibri"/>
                <w:b/>
                <w:color w:val="FFFFFF"/>
                <w:sz w:val="18"/>
              </w:rPr>
              <w:t>Content</w:t>
            </w:r>
          </w:p>
        </w:tc>
      </w:tr>
      <w:tr>
        <w:tc>
          <w:tcPr>
            <w:tcW w:type="dxa" w:w="1984"/>
          </w:tcPr>
          <w:p>
            <w:r/>
            <w:r>
              <w:rPr>
                <w:rFonts w:ascii="Calibri" w:hAnsi="Calibri"/>
                <w:sz w:val="18"/>
              </w:rPr>
              <w:t>Daily Health Summary</w:t>
            </w:r>
          </w:p>
        </w:tc>
        <w:tc>
          <w:tcPr>
            <w:tcW w:type="dxa" w:w="1984"/>
          </w:tcPr>
          <w:p>
            <w:r/>
            <w:r>
              <w:rPr>
                <w:rFonts w:ascii="Calibri" w:hAnsi="Calibri"/>
                <w:sz w:val="18"/>
              </w:rPr>
              <w:t>Daily, 08:00 IST</w:t>
            </w:r>
          </w:p>
        </w:tc>
        <w:tc>
          <w:tcPr>
            <w:tcW w:type="dxa" w:w="4819"/>
          </w:tcPr>
          <w:p>
            <w:r/>
            <w:r>
              <w:rPr>
                <w:rFonts w:ascii="Calibri" w:hAnsi="Calibri"/>
                <w:sz w:val="18"/>
              </w:rPr>
              <w:t>Sensor uptime, max/min values, any Tier-I alerts, DAQ status</w:t>
            </w:r>
          </w:p>
        </w:tc>
      </w:tr>
      <w:tr>
        <w:tc>
          <w:tcPr>
            <w:tcW w:type="dxa" w:w="1984"/>
            <w:shd w:fill="F0F3F7"/>
          </w:tcPr>
          <w:p>
            <w:r/>
            <w:r>
              <w:rPr>
                <w:rFonts w:ascii="Calibri" w:hAnsi="Calibri"/>
                <w:sz w:val="18"/>
              </w:rPr>
              <w:t>Weekly Report</w:t>
            </w:r>
          </w:p>
        </w:tc>
        <w:tc>
          <w:tcPr>
            <w:tcW w:type="dxa" w:w="1984"/>
            <w:shd w:fill="F0F3F7"/>
          </w:tcPr>
          <w:p>
            <w:r/>
            <w:r>
              <w:rPr>
                <w:rFonts w:ascii="Calibri" w:hAnsi="Calibri"/>
                <w:sz w:val="18"/>
              </w:rPr>
              <w:t>Every Monday</w:t>
            </w:r>
          </w:p>
        </w:tc>
        <w:tc>
          <w:tcPr>
            <w:tcW w:type="dxa" w:w="4819"/>
            <w:shd w:fill="F0F3F7"/>
          </w:tcPr>
          <w:p>
            <w:r/>
            <w:r>
              <w:rPr>
                <w:rFonts w:ascii="Calibri" w:hAnsi="Calibri"/>
                <w:sz w:val="18"/>
              </w:rPr>
              <w:t>Trend plots, alert summary, maintenance actions, upcoming calibrations</w:t>
            </w:r>
          </w:p>
        </w:tc>
      </w:tr>
      <w:tr>
        <w:tc>
          <w:tcPr>
            <w:tcW w:type="dxa" w:w="1984"/>
          </w:tcPr>
          <w:p>
            <w:r/>
            <w:r>
              <w:rPr>
                <w:rFonts w:ascii="Calibri" w:hAnsi="Calibri"/>
                <w:sz w:val="18"/>
              </w:rPr>
              <w:t>Monthly Report</w:t>
            </w:r>
          </w:p>
        </w:tc>
        <w:tc>
          <w:tcPr>
            <w:tcW w:type="dxa" w:w="1984"/>
          </w:tcPr>
          <w:p>
            <w:r/>
            <w:r>
              <w:rPr>
                <w:rFonts w:ascii="Calibri" w:hAnsi="Calibri"/>
                <w:sz w:val="18"/>
              </w:rPr>
              <w:t>1st of each month</w:t>
            </w:r>
          </w:p>
        </w:tc>
        <w:tc>
          <w:tcPr>
            <w:tcW w:type="dxa" w:w="4819"/>
          </w:tcPr>
          <w:p>
            <w:r/>
            <w:r>
              <w:rPr>
                <w:rFonts w:ascii="Calibri" w:hAnsi="Calibri"/>
                <w:sz w:val="18"/>
              </w:rPr>
              <w:t>Statistics, OMA results, condition indices, comparison with previous months, traffic summary (WIM)</w:t>
            </w:r>
          </w:p>
        </w:tc>
      </w:tr>
      <w:tr>
        <w:tc>
          <w:tcPr>
            <w:tcW w:type="dxa" w:w="1984"/>
            <w:shd w:fill="F0F3F7"/>
          </w:tcPr>
          <w:p>
            <w:r/>
            <w:r>
              <w:rPr>
                <w:rFonts w:ascii="Calibri" w:hAnsi="Calibri"/>
                <w:sz w:val="18"/>
              </w:rPr>
              <w:t>Annual Structural Report</w:t>
            </w:r>
          </w:p>
        </w:tc>
        <w:tc>
          <w:tcPr>
            <w:tcW w:type="dxa" w:w="1984"/>
            <w:shd w:fill="F0F3F7"/>
          </w:tcPr>
          <w:p>
            <w:r/>
            <w:r>
              <w:rPr>
                <w:rFonts w:ascii="Calibri" w:hAnsi="Calibri"/>
                <w:sz w:val="18"/>
              </w:rPr>
              <w:t>Annual</w:t>
            </w:r>
          </w:p>
        </w:tc>
        <w:tc>
          <w:tcPr>
            <w:tcW w:type="dxa" w:w="4819"/>
            <w:shd w:fill="F0F3F7"/>
          </w:tcPr>
          <w:p>
            <w:r/>
            <w:r>
              <w:rPr>
                <w:rFonts w:ascii="Calibri" w:hAnsi="Calibri"/>
                <w:sz w:val="18"/>
              </w:rPr>
              <w:t>Full structural assessment, modal parameter evolution, FE model update summary, remaining fatigue life estimate, condition rating per IRC:SP:35</w:t>
            </w:r>
          </w:p>
        </w:tc>
      </w:tr>
      <w:tr>
        <w:tc>
          <w:tcPr>
            <w:tcW w:type="dxa" w:w="1984"/>
          </w:tcPr>
          <w:p>
            <w:r/>
            <w:r>
              <w:rPr>
                <w:rFonts w:ascii="Calibri" w:hAnsi="Calibri"/>
                <w:sz w:val="18"/>
              </w:rPr>
              <w:t>Post-Event Report</w:t>
            </w:r>
          </w:p>
        </w:tc>
        <w:tc>
          <w:tcPr>
            <w:tcW w:type="dxa" w:w="1984"/>
          </w:tcPr>
          <w:p>
            <w:r/>
            <w:r>
              <w:rPr>
                <w:rFonts w:ascii="Calibri" w:hAnsi="Calibri"/>
                <w:sz w:val="18"/>
              </w:rPr>
              <w:t>Within 72 hours of any Red-tier event</w:t>
            </w:r>
          </w:p>
        </w:tc>
        <w:tc>
          <w:tcPr>
            <w:tcW w:type="dxa" w:w="4819"/>
          </w:tcPr>
          <w:p>
            <w:r/>
            <w:r>
              <w:rPr>
                <w:rFonts w:ascii="Calibri" w:hAnsi="Calibri"/>
                <w:sz w:val="18"/>
              </w:rPr>
              <w:t>Event timeline, peak parameter values, before/after modal comparison, recommended inspection actions, immediate safety assessment</w:t>
            </w:r>
          </w:p>
        </w:tc>
      </w:tr>
    </w:tbl>
    <w:p/>
    <w:p>
      <w:pPr>
        <w:pStyle w:val="Heading3"/>
      </w:pPr>
      <w:r>
        <w:rPr>
          <w:rFonts w:ascii="Calibri" w:hAnsi="Calibri"/>
          <w:color w:val="2C5F2D"/>
          <w:sz w:val="28"/>
        </w:rPr>
        <w:t>11.2 Inspection Integration (IRC:SP:35)</w:t>
      </w:r>
    </w:p>
    <w:p>
      <w:r>
        <w:rPr>
          <w:rFonts w:ascii="Calibri" w:hAnsi="Calibri"/>
          <w:b w:val="0"/>
          <w:i w:val="0"/>
          <w:sz w:val="22"/>
        </w:rPr>
        <w:t>SHM condition-based ratings (CBR) shall supplement visual inspection ratings. The SHM system shall compute a quantitative condition index (0–100) for the following components:</w:t>
      </w:r>
    </w:p>
    <w:p>
      <w:pPr>
        <w:pStyle w:val="ListBullet"/>
      </w:pPr>
      <w:r>
        <w:t>Superstructure (deflection, strain, modal parameters)</w:t>
      </w:r>
    </w:p>
    <w:p>
      <w:pPr>
        <w:pStyle w:val="ListBullet"/>
      </w:pPr>
      <w:r>
        <w:t>Substructure (tilt, scour, settlement)</w:t>
      </w:r>
    </w:p>
    <w:p>
      <w:pPr>
        <w:pStyle w:val="ListBullet"/>
      </w:pPr>
      <w:r>
        <w:t>Bearings &amp; Expansion Joints (displacement, temperature correlation)</w:t>
      </w:r>
    </w:p>
    <w:p>
      <w:pPr>
        <w:pStyle w:val="ListBullet"/>
      </w:pPr>
      <w:r>
        <w:t>Stay Cables / Hangers (force variability, corrosion)</w:t>
      </w:r>
    </w:p>
    <w:p>
      <w:pPr>
        <w:pStyle w:val="ListBullet"/>
      </w:pPr>
      <w:r>
        <w:t>Deck &amp; Wearing Course (from traffic camera + WIM overload count)</w:t>
      </w:r>
    </w:p>
    <w:p>
      <w:r>
        <w:rPr>
          <w:rFonts w:ascii="Calibri" w:hAnsi="Calibri"/>
          <w:b w:val="0"/>
          <w:i w:val="0"/>
          <w:sz w:val="22"/>
        </w:rPr>
        <w:t>These component indices are weighted and combined into an overall Bridge Health Index (BHI), which shall be stored in the NHAI Bridge Management System.</w:t>
      </w:r>
    </w:p>
    <w:p>
      <w:pPr>
        <w:pStyle w:val="Heading3"/>
      </w:pPr>
      <w:r>
        <w:rPr>
          <w:rFonts w:ascii="Calibri" w:hAnsi="Calibri"/>
          <w:color w:val="2C5F2D"/>
          <w:sz w:val="28"/>
        </w:rPr>
        <w:t>11.3 Compliance Checklist</w:t>
      </w:r>
    </w:p>
    <w:tbl>
      <w:tblPr>
        <w:tblStyle w:val="TableGrid"/>
        <w:tblW w:type="auto" w:w="0"/>
        <w:jc w:val="center"/>
        <w:tblLook w:firstColumn="1" w:firstRow="1" w:lastColumn="0" w:lastRow="0" w:noHBand="0" w:noVBand="1" w:val="04A0"/>
      </w:tblPr>
      <w:tblGrid>
        <w:gridCol w:w="4536"/>
        <w:gridCol w:w="4536"/>
      </w:tblGrid>
      <w:tr>
        <w:tc>
          <w:tcPr>
            <w:tcW w:type="dxa" w:w="4252"/>
            <w:shd w:fill="1A3C6D"/>
          </w:tcPr>
          <w:p>
            <w:pPr>
              <w:jc w:val="left"/>
            </w:pPr>
            <w:r/>
            <w:r>
              <w:rPr>
                <w:rFonts w:ascii="Calibri" w:hAnsi="Calibri"/>
                <w:b/>
                <w:color w:val="FFFFFF"/>
                <w:sz w:val="18"/>
              </w:rPr>
              <w:t>Compliance Item</w:t>
            </w:r>
          </w:p>
        </w:tc>
        <w:tc>
          <w:tcPr>
            <w:tcW w:type="dxa" w:w="4535"/>
            <w:shd w:fill="1A3C6D"/>
          </w:tcPr>
          <w:p>
            <w:pPr>
              <w:jc w:val="left"/>
            </w:pPr>
            <w:r/>
            <w:r>
              <w:rPr>
                <w:rFonts w:ascii="Calibri" w:hAnsi="Calibri"/>
                <w:b/>
                <w:color w:val="FFFFFF"/>
                <w:sz w:val="18"/>
              </w:rPr>
              <w:t>Evidence</w:t>
            </w:r>
          </w:p>
        </w:tc>
      </w:tr>
      <w:tr>
        <w:tc>
          <w:tcPr>
            <w:tcW w:type="dxa" w:w="4252"/>
          </w:tcPr>
          <w:p>
            <w:r/>
            <w:r>
              <w:rPr>
                <w:rFonts w:ascii="Calibri" w:hAnsi="Calibri"/>
                <w:sz w:val="18"/>
              </w:rPr>
              <w:t>SHM design approved by Independent Engineer</w:t>
            </w:r>
          </w:p>
        </w:tc>
        <w:tc>
          <w:tcPr>
            <w:tcW w:type="dxa" w:w="4535"/>
          </w:tcPr>
          <w:p>
            <w:r/>
            <w:r>
              <w:rPr>
                <w:rFonts w:ascii="Calibri" w:hAnsi="Calibri"/>
                <w:sz w:val="18"/>
              </w:rPr>
              <w:t>Approval letter</w:t>
            </w:r>
          </w:p>
        </w:tc>
      </w:tr>
      <w:tr>
        <w:tc>
          <w:tcPr>
            <w:tcW w:type="dxa" w:w="4252"/>
            <w:shd w:fill="F0F3F7"/>
          </w:tcPr>
          <w:p>
            <w:r/>
            <w:r>
              <w:rPr>
                <w:rFonts w:ascii="Calibri" w:hAnsi="Calibri"/>
                <w:sz w:val="18"/>
              </w:rPr>
              <w:t>All sensors calibrated (NABL traceable)</w:t>
            </w:r>
          </w:p>
        </w:tc>
        <w:tc>
          <w:tcPr>
            <w:tcW w:type="dxa" w:w="4535"/>
            <w:shd w:fill="F0F3F7"/>
          </w:tcPr>
          <w:p>
            <w:r/>
            <w:r>
              <w:rPr>
                <w:rFonts w:ascii="Calibri" w:hAnsi="Calibri"/>
                <w:sz w:val="18"/>
              </w:rPr>
              <w:t>Calibration certificates</w:t>
            </w:r>
          </w:p>
        </w:tc>
      </w:tr>
      <w:tr>
        <w:tc>
          <w:tcPr>
            <w:tcW w:type="dxa" w:w="4252"/>
          </w:tcPr>
          <w:p>
            <w:r/>
            <w:r>
              <w:rPr>
                <w:rFonts w:ascii="Calibri" w:hAnsi="Calibri"/>
                <w:sz w:val="18"/>
              </w:rPr>
              <w:t>Commissioning tests passed</w:t>
            </w:r>
          </w:p>
        </w:tc>
        <w:tc>
          <w:tcPr>
            <w:tcW w:type="dxa" w:w="4535"/>
          </w:tcPr>
          <w:p>
            <w:r/>
            <w:r>
              <w:rPr>
                <w:rFonts w:ascii="Calibri" w:hAnsi="Calibri"/>
                <w:sz w:val="18"/>
              </w:rPr>
              <w:t>Signed test reports</w:t>
            </w:r>
          </w:p>
        </w:tc>
      </w:tr>
      <w:tr>
        <w:tc>
          <w:tcPr>
            <w:tcW w:type="dxa" w:w="4252"/>
            <w:shd w:fill="F0F3F7"/>
          </w:tcPr>
          <w:p>
            <w:r/>
            <w:r>
              <w:rPr>
                <w:rFonts w:ascii="Calibri" w:hAnsi="Calibri"/>
                <w:sz w:val="18"/>
              </w:rPr>
              <w:t>90-day baseline established</w:t>
            </w:r>
          </w:p>
        </w:tc>
        <w:tc>
          <w:tcPr>
            <w:tcW w:type="dxa" w:w="4535"/>
            <w:shd w:fill="F0F3F7"/>
          </w:tcPr>
          <w:p>
            <w:r/>
            <w:r>
              <w:rPr>
                <w:rFonts w:ascii="Calibri" w:hAnsi="Calibri"/>
                <w:sz w:val="18"/>
              </w:rPr>
              <w:t>Baseline report</w:t>
            </w:r>
          </w:p>
        </w:tc>
      </w:tr>
      <w:tr>
        <w:tc>
          <w:tcPr>
            <w:tcW w:type="dxa" w:w="4252"/>
          </w:tcPr>
          <w:p>
            <w:r/>
            <w:r>
              <w:rPr>
                <w:rFonts w:ascii="Calibri" w:hAnsi="Calibri"/>
                <w:sz w:val="18"/>
              </w:rPr>
              <w:t>Dashboard accessible to Authority</w:t>
            </w:r>
          </w:p>
        </w:tc>
        <w:tc>
          <w:tcPr>
            <w:tcW w:type="dxa" w:w="4535"/>
          </w:tcPr>
          <w:p>
            <w:r/>
            <w:r>
              <w:rPr>
                <w:rFonts w:ascii="Calibri" w:hAnsi="Calibri"/>
                <w:sz w:val="18"/>
              </w:rPr>
              <w:t>URL + admin credentials deposited</w:t>
            </w:r>
          </w:p>
        </w:tc>
      </w:tr>
      <w:tr>
        <w:tc>
          <w:tcPr>
            <w:tcW w:type="dxa" w:w="4252"/>
            <w:shd w:fill="F0F3F7"/>
          </w:tcPr>
          <w:p>
            <w:r/>
            <w:r>
              <w:rPr>
                <w:rFonts w:ascii="Calibri" w:hAnsi="Calibri"/>
                <w:sz w:val="18"/>
              </w:rPr>
              <w:t>Alarm protocol tested end-to-end</w:t>
            </w:r>
          </w:p>
        </w:tc>
        <w:tc>
          <w:tcPr>
            <w:tcW w:type="dxa" w:w="4535"/>
            <w:shd w:fill="F0F3F7"/>
          </w:tcPr>
          <w:p>
            <w:r/>
            <w:r>
              <w:rPr>
                <w:rFonts w:ascii="Calibri" w:hAnsi="Calibri"/>
                <w:sz w:val="18"/>
              </w:rPr>
              <w:t>Test log with timestamps</w:t>
            </w:r>
          </w:p>
        </w:tc>
      </w:tr>
      <w:tr>
        <w:tc>
          <w:tcPr>
            <w:tcW w:type="dxa" w:w="4252"/>
          </w:tcPr>
          <w:p>
            <w:r/>
            <w:r>
              <w:rPr>
                <w:rFonts w:ascii="Calibri" w:hAnsi="Calibri"/>
                <w:sz w:val="18"/>
              </w:rPr>
              <w:t>Cloud data residency in India</w:t>
            </w:r>
          </w:p>
        </w:tc>
        <w:tc>
          <w:tcPr>
            <w:tcW w:type="dxa" w:w="4535"/>
          </w:tcPr>
          <w:p>
            <w:r/>
            <w:r>
              <w:rPr>
                <w:rFonts w:ascii="Calibri" w:hAnsi="Calibri"/>
                <w:sz w:val="18"/>
              </w:rPr>
              <w:t>Cloud provider certificate</w:t>
            </w:r>
          </w:p>
        </w:tc>
      </w:tr>
      <w:tr>
        <w:tc>
          <w:tcPr>
            <w:tcW w:type="dxa" w:w="4252"/>
            <w:shd w:fill="F0F3F7"/>
          </w:tcPr>
          <w:p>
            <w:r/>
            <w:r>
              <w:rPr>
                <w:rFonts w:ascii="Calibri" w:hAnsi="Calibri"/>
                <w:sz w:val="18"/>
              </w:rPr>
              <w:t>O&amp;M plan submitted and approved</w:t>
            </w:r>
          </w:p>
        </w:tc>
        <w:tc>
          <w:tcPr>
            <w:tcW w:type="dxa" w:w="4535"/>
            <w:shd w:fill="F0F3F7"/>
          </w:tcPr>
          <w:p>
            <w:r/>
            <w:r>
              <w:rPr>
                <w:rFonts w:ascii="Calibri" w:hAnsi="Calibri"/>
                <w:sz w:val="18"/>
              </w:rPr>
              <w:t>Approved O&amp;M manual</w:t>
            </w:r>
          </w:p>
        </w:tc>
      </w:tr>
    </w:tbl>
    <w:p/>
    <w:p>
      <w:r>
        <w:br w:type="page"/>
      </w:r>
    </w:p>
    <w:p>
      <w:pPr>
        <w:pStyle w:val="Heading2"/>
      </w:pPr>
      <w:r>
        <w:rPr>
          <w:rFonts w:ascii="Calibri" w:hAnsi="Calibri"/>
          <w:color w:val="1A3C6D"/>
          <w:sz w:val="36"/>
        </w:rPr>
        <w:t>12. Bid Evaluation &amp; Vendor Qualification</w:t>
      </w:r>
    </w:p>
    <w:p>
      <w:pPr>
        <w:pStyle w:val="Heading3"/>
      </w:pPr>
      <w:r>
        <w:rPr>
          <w:rFonts w:ascii="Calibri" w:hAnsi="Calibri"/>
          <w:color w:val="2C5F2D"/>
          <w:sz w:val="28"/>
        </w:rPr>
        <w:t>12.1 Eligibility Criteria for SHM System Integrator</w:t>
      </w:r>
    </w:p>
    <w:tbl>
      <w:tblPr>
        <w:tblStyle w:val="TableGrid"/>
        <w:tblW w:type="auto" w:w="0"/>
        <w:jc w:val="center"/>
        <w:tblLook w:firstColumn="1" w:firstRow="1" w:lastColumn="0" w:lastRow="0" w:noHBand="0" w:noVBand="1" w:val="04A0"/>
      </w:tblPr>
      <w:tblGrid>
        <w:gridCol w:w="4536"/>
        <w:gridCol w:w="4536"/>
      </w:tblGrid>
      <w:tr>
        <w:tc>
          <w:tcPr>
            <w:tcW w:type="dxa" w:w="2268"/>
            <w:shd w:fill="1A3C6D"/>
          </w:tcPr>
          <w:p>
            <w:pPr>
              <w:jc w:val="left"/>
            </w:pPr>
            <w:r/>
            <w:r>
              <w:rPr>
                <w:rFonts w:ascii="Calibri" w:hAnsi="Calibri"/>
                <w:b/>
                <w:color w:val="FFFFFF"/>
                <w:sz w:val="18"/>
              </w:rPr>
              <w:t>Criterion</w:t>
            </w:r>
          </w:p>
        </w:tc>
        <w:tc>
          <w:tcPr>
            <w:tcW w:type="dxa" w:w="6520"/>
            <w:shd w:fill="1A3C6D"/>
          </w:tcPr>
          <w:p>
            <w:pPr>
              <w:jc w:val="left"/>
            </w:pPr>
            <w:r/>
            <w:r>
              <w:rPr>
                <w:rFonts w:ascii="Calibri" w:hAnsi="Calibri"/>
                <w:b/>
                <w:color w:val="FFFFFF"/>
                <w:sz w:val="18"/>
              </w:rPr>
              <w:t>Requirement</w:t>
            </w:r>
          </w:p>
        </w:tc>
      </w:tr>
      <w:tr>
        <w:tc>
          <w:tcPr>
            <w:tcW w:type="dxa" w:w="2268"/>
          </w:tcPr>
          <w:p>
            <w:r/>
            <w:r>
              <w:rPr>
                <w:rFonts w:ascii="Calibri" w:hAnsi="Calibri"/>
                <w:sz w:val="18"/>
              </w:rPr>
              <w:t>Experience</w:t>
            </w:r>
          </w:p>
        </w:tc>
        <w:tc>
          <w:tcPr>
            <w:tcW w:type="dxa" w:w="6520"/>
          </w:tcPr>
          <w:p>
            <w:r/>
            <w:r>
              <w:rPr>
                <w:rFonts w:ascii="Calibri" w:hAnsi="Calibri"/>
                <w:sz w:val="18"/>
              </w:rPr>
              <w:t>Minimum 5 years in SHM instrumentation; at least 3 completed projects on major bridges (span ≥ 60 m) in India or similar tropical/developing country</w:t>
            </w:r>
          </w:p>
        </w:tc>
      </w:tr>
      <w:tr>
        <w:tc>
          <w:tcPr>
            <w:tcW w:type="dxa" w:w="2268"/>
            <w:shd w:fill="F0F3F7"/>
          </w:tcPr>
          <w:p>
            <w:r/>
            <w:r>
              <w:rPr>
                <w:rFonts w:ascii="Calibri" w:hAnsi="Calibri"/>
                <w:sz w:val="18"/>
              </w:rPr>
              <w:t>Financial</w:t>
            </w:r>
          </w:p>
        </w:tc>
        <w:tc>
          <w:tcPr>
            <w:tcW w:type="dxa" w:w="6520"/>
            <w:shd w:fill="F0F3F7"/>
          </w:tcPr>
          <w:p>
            <w:r/>
            <w:r>
              <w:rPr>
                <w:rFonts w:ascii="Calibri" w:hAnsi="Calibri"/>
                <w:sz w:val="18"/>
              </w:rPr>
              <w:t>Average annual turnover ≥ INR 20 crore in instrumentation / SHM works over last 3 financial years</w:t>
            </w:r>
          </w:p>
        </w:tc>
      </w:tr>
      <w:tr>
        <w:tc>
          <w:tcPr>
            <w:tcW w:type="dxa" w:w="2268"/>
          </w:tcPr>
          <w:p>
            <w:r/>
            <w:r>
              <w:rPr>
                <w:rFonts w:ascii="Calibri" w:hAnsi="Calibri"/>
                <w:sz w:val="18"/>
              </w:rPr>
              <w:t>Technical Personnel</w:t>
            </w:r>
          </w:p>
        </w:tc>
        <w:tc>
          <w:tcPr>
            <w:tcW w:type="dxa" w:w="6520"/>
          </w:tcPr>
          <w:p>
            <w:r/>
            <w:r>
              <w:rPr>
                <w:rFonts w:ascii="Calibri" w:hAnsi="Calibri"/>
                <w:sz w:val="18"/>
              </w:rPr>
              <w:t>Minimum 2 instrumentation engineers (M.Tech/ME in Structural/Civil), 2 electronics/DAQ engineers, 1 structural analyst with FE modelling experience</w:t>
            </w:r>
          </w:p>
        </w:tc>
      </w:tr>
      <w:tr>
        <w:tc>
          <w:tcPr>
            <w:tcW w:type="dxa" w:w="2268"/>
            <w:shd w:fill="F0F3F7"/>
          </w:tcPr>
          <w:p>
            <w:r/>
            <w:r>
              <w:rPr>
                <w:rFonts w:ascii="Calibri" w:hAnsi="Calibri"/>
                <w:sz w:val="18"/>
              </w:rPr>
              <w:t>Certification</w:t>
            </w:r>
          </w:p>
        </w:tc>
        <w:tc>
          <w:tcPr>
            <w:tcW w:type="dxa" w:w="6520"/>
            <w:shd w:fill="F0F3F7"/>
          </w:tcPr>
          <w:p>
            <w:r/>
            <w:r>
              <w:rPr>
                <w:rFonts w:ascii="Calibri" w:hAnsi="Calibri"/>
                <w:sz w:val="18"/>
              </w:rPr>
              <w:t>ISO 9001:2015; ISO/IEC 17025 (NABL) for in-house calibration or tie-up with NABL lab</w:t>
            </w:r>
          </w:p>
        </w:tc>
      </w:tr>
      <w:tr>
        <w:tc>
          <w:tcPr>
            <w:tcW w:type="dxa" w:w="2268"/>
          </w:tcPr>
          <w:p>
            <w:r/>
            <w:r>
              <w:rPr>
                <w:rFonts w:ascii="Calibri" w:hAnsi="Calibri"/>
                <w:sz w:val="18"/>
              </w:rPr>
              <w:t>Past Performance</w:t>
            </w:r>
          </w:p>
        </w:tc>
        <w:tc>
          <w:tcPr>
            <w:tcW w:type="dxa" w:w="6520"/>
          </w:tcPr>
          <w:p>
            <w:r/>
            <w:r>
              <w:rPr>
                <w:rFonts w:ascii="Calibri" w:hAnsi="Calibri"/>
                <w:sz w:val="18"/>
              </w:rPr>
              <w:t>No blacklisting or contract termination by any government agency in India in the last 3 years</w:t>
            </w:r>
          </w:p>
        </w:tc>
      </w:tr>
    </w:tbl>
    <w:p/>
    <w:p>
      <w:pPr>
        <w:pStyle w:val="Heading3"/>
      </w:pPr>
      <w:r>
        <w:rPr>
          <w:rFonts w:ascii="Calibri" w:hAnsi="Calibri"/>
          <w:color w:val="2C5F2D"/>
          <w:sz w:val="28"/>
        </w:rPr>
        <w:t>12.2 Bid Evaluation Criteria</w:t>
      </w:r>
    </w:p>
    <w:tbl>
      <w:tblPr>
        <w:tblStyle w:val="TableGrid"/>
        <w:tblW w:type="auto" w:w="0"/>
        <w:jc w:val="center"/>
        <w:tblLook w:firstColumn="1" w:firstRow="1" w:lastColumn="0" w:lastRow="0" w:noHBand="0" w:noVBand="1" w:val="04A0"/>
      </w:tblPr>
      <w:tblGrid>
        <w:gridCol w:w="4536"/>
        <w:gridCol w:w="4536"/>
      </w:tblGrid>
      <w:tr>
        <w:tc>
          <w:tcPr>
            <w:tcW w:type="dxa" w:w="5953"/>
            <w:shd w:fill="1A3C6D"/>
          </w:tcPr>
          <w:p>
            <w:pPr>
              <w:jc w:val="left"/>
            </w:pPr>
            <w:r/>
            <w:r>
              <w:rPr>
                <w:rFonts w:ascii="Calibri" w:hAnsi="Calibri"/>
                <w:b/>
                <w:color w:val="FFFFFF"/>
                <w:sz w:val="18"/>
              </w:rPr>
              <w:t>Parameter</w:t>
            </w:r>
          </w:p>
        </w:tc>
        <w:tc>
          <w:tcPr>
            <w:tcW w:type="dxa" w:w="2835"/>
            <w:shd w:fill="1A3C6D"/>
          </w:tcPr>
          <w:p>
            <w:pPr>
              <w:jc w:val="left"/>
            </w:pPr>
            <w:r/>
            <w:r>
              <w:rPr>
                <w:rFonts w:ascii="Calibri" w:hAnsi="Calibri"/>
                <w:b/>
                <w:color w:val="FFFFFF"/>
                <w:sz w:val="18"/>
              </w:rPr>
              <w:t>Maximum Points</w:t>
            </w:r>
          </w:p>
        </w:tc>
      </w:tr>
      <w:tr>
        <w:tc>
          <w:tcPr>
            <w:tcW w:type="dxa" w:w="5953"/>
          </w:tcPr>
          <w:p>
            <w:r/>
            <w:r>
              <w:rPr>
                <w:rFonts w:ascii="Calibri" w:hAnsi="Calibri"/>
                <w:sz w:val="18"/>
              </w:rPr>
              <w:t>Technical proposal (sensor selection, redundancy, topology)</w:t>
            </w:r>
          </w:p>
        </w:tc>
        <w:tc>
          <w:tcPr>
            <w:tcW w:type="dxa" w:w="2835"/>
          </w:tcPr>
          <w:p>
            <w:r/>
            <w:r>
              <w:rPr>
                <w:rFonts w:ascii="Calibri" w:hAnsi="Calibri"/>
                <w:sz w:val="18"/>
              </w:rPr>
              <w:t>30</w:t>
            </w:r>
          </w:p>
        </w:tc>
      </w:tr>
      <w:tr>
        <w:tc>
          <w:tcPr>
            <w:tcW w:type="dxa" w:w="5953"/>
            <w:shd w:fill="F0F3F7"/>
          </w:tcPr>
          <w:p>
            <w:r/>
            <w:r>
              <w:rPr>
                <w:rFonts w:ascii="Calibri" w:hAnsi="Calibri"/>
                <w:sz w:val="18"/>
              </w:rPr>
              <w:t>Software platform (dashboard, analytics, API, mobile app)</w:t>
            </w:r>
          </w:p>
        </w:tc>
        <w:tc>
          <w:tcPr>
            <w:tcW w:type="dxa" w:w="2835"/>
            <w:shd w:fill="F0F3F7"/>
          </w:tcPr>
          <w:p>
            <w:r/>
            <w:r>
              <w:rPr>
                <w:rFonts w:ascii="Calibri" w:hAnsi="Calibri"/>
                <w:sz w:val="18"/>
              </w:rPr>
              <w:t>20</w:t>
            </w:r>
          </w:p>
        </w:tc>
      </w:tr>
      <w:tr>
        <w:tc>
          <w:tcPr>
            <w:tcW w:type="dxa" w:w="5953"/>
          </w:tcPr>
          <w:p>
            <w:r/>
            <w:r>
              <w:rPr>
                <w:rFonts w:ascii="Calibri" w:hAnsi="Calibri"/>
                <w:sz w:val="18"/>
              </w:rPr>
              <w:t>Experience on similar bridges in India</w:t>
            </w:r>
          </w:p>
        </w:tc>
        <w:tc>
          <w:tcPr>
            <w:tcW w:type="dxa" w:w="2835"/>
          </w:tcPr>
          <w:p>
            <w:r/>
            <w:r>
              <w:rPr>
                <w:rFonts w:ascii="Calibri" w:hAnsi="Calibri"/>
                <w:sz w:val="18"/>
              </w:rPr>
              <w:t>15</w:t>
            </w:r>
          </w:p>
        </w:tc>
      </w:tr>
      <w:tr>
        <w:tc>
          <w:tcPr>
            <w:tcW w:type="dxa" w:w="5953"/>
            <w:shd w:fill="F0F3F7"/>
          </w:tcPr>
          <w:p>
            <w:r/>
            <w:r>
              <w:rPr>
                <w:rFonts w:ascii="Calibri" w:hAnsi="Calibri"/>
                <w:sz w:val="18"/>
              </w:rPr>
              <w:t>O&amp;M plan and local support capability</w:t>
            </w:r>
          </w:p>
        </w:tc>
        <w:tc>
          <w:tcPr>
            <w:tcW w:type="dxa" w:w="2835"/>
            <w:shd w:fill="F0F3F7"/>
          </w:tcPr>
          <w:p>
            <w:r/>
            <w:r>
              <w:rPr>
                <w:rFonts w:ascii="Calibri" w:hAnsi="Calibri"/>
                <w:sz w:val="18"/>
              </w:rPr>
              <w:t>15</w:t>
            </w:r>
          </w:p>
        </w:tc>
      </w:tr>
      <w:tr>
        <w:tc>
          <w:tcPr>
            <w:tcW w:type="dxa" w:w="5953"/>
          </w:tcPr>
          <w:p>
            <w:r/>
            <w:r>
              <w:rPr>
                <w:rFonts w:ascii="Calibri" w:hAnsi="Calibri"/>
                <w:sz w:val="18"/>
              </w:rPr>
              <w:t>Innovation (digital twin, AI/ML predictive analytics)</w:t>
            </w:r>
          </w:p>
        </w:tc>
        <w:tc>
          <w:tcPr>
            <w:tcW w:type="dxa" w:w="2835"/>
          </w:tcPr>
          <w:p>
            <w:r/>
            <w:r>
              <w:rPr>
                <w:rFonts w:ascii="Calibri" w:hAnsi="Calibri"/>
                <w:sz w:val="18"/>
              </w:rPr>
              <w:t>10</w:t>
            </w:r>
          </w:p>
        </w:tc>
      </w:tr>
      <w:tr>
        <w:tc>
          <w:tcPr>
            <w:tcW w:type="dxa" w:w="5953"/>
            <w:shd w:fill="F0F3F7"/>
          </w:tcPr>
          <w:p>
            <w:r/>
            <w:r>
              <w:rPr>
                <w:rFonts w:ascii="Calibri" w:hAnsi="Calibri"/>
                <w:sz w:val="18"/>
              </w:rPr>
              <w:t>Price bid (financial)</w:t>
            </w:r>
          </w:p>
        </w:tc>
        <w:tc>
          <w:tcPr>
            <w:tcW w:type="dxa" w:w="2835"/>
            <w:shd w:fill="F0F3F7"/>
          </w:tcPr>
          <w:p>
            <w:r/>
            <w:r>
              <w:rPr>
                <w:rFonts w:ascii="Calibri" w:hAnsi="Calibri"/>
                <w:sz w:val="18"/>
              </w:rPr>
              <w:t>10</w:t>
            </w:r>
          </w:p>
        </w:tc>
      </w:tr>
      <w:tr>
        <w:tc>
          <w:tcPr>
            <w:tcW w:type="dxa" w:w="5953"/>
          </w:tcPr>
          <w:p>
            <w:r/>
            <w:r>
              <w:rPr>
                <w:rFonts w:ascii="Calibri" w:hAnsi="Calibri"/>
                <w:sz w:val="18"/>
              </w:rPr>
              <w:t>Total</w:t>
            </w:r>
          </w:p>
        </w:tc>
        <w:tc>
          <w:tcPr>
            <w:tcW w:type="dxa" w:w="2835"/>
          </w:tcPr>
          <w:p>
            <w:r/>
            <w:r>
              <w:rPr>
                <w:rFonts w:ascii="Calibri" w:hAnsi="Calibri"/>
                <w:sz w:val="18"/>
              </w:rPr>
              <w:t>100</w:t>
            </w:r>
          </w:p>
        </w:tc>
      </w:tr>
    </w:tbl>
    <w:p/>
    <w:p>
      <w:pPr>
        <w:spacing w:before="160" w:after="160"/>
        <w:ind w:left="283"/>
      </w:pPr>
      <w:r>
        <w:rPr>
          <w:rFonts w:ascii="Calibri" w:hAnsi="Calibri"/>
          <w:b/>
          <w:color w:val="1976D2"/>
          <w:sz w:val="20"/>
        </w:rPr>
        <w:t xml:space="preserve">Note: </w:t>
      </w:r>
      <w:r>
        <w:rPr>
          <w:rFonts w:ascii="Calibri" w:hAnsi="Calibri"/>
          <w:i/>
          <w:sz w:val="20"/>
        </w:rPr>
        <w:t>Qualifying technical score: Minimum 70/90 (excluding price). Financial bid opened only for technically qualified bidders. QCBS (Quality and Cost-Based Selection) method recommended per NHAI procurement guidelines.</w:t>
      </w:r>
    </w:p>
    <w:p>
      <w:r>
        <w:br w:type="page"/>
      </w:r>
    </w:p>
    <w:p>
      <w:pPr>
        <w:pStyle w:val="Heading2"/>
      </w:pPr>
      <w:r>
        <w:rPr>
          <w:rFonts w:ascii="Calibri" w:hAnsi="Calibri"/>
          <w:color w:val="1A3C6D"/>
          <w:sz w:val="36"/>
        </w:rPr>
        <w:t>13. Annexures</w:t>
      </w:r>
    </w:p>
    <w:p>
      <w:pPr>
        <w:pStyle w:val="Heading3"/>
      </w:pPr>
      <w:r>
        <w:rPr>
          <w:rFonts w:ascii="Calibri" w:hAnsi="Calibri"/>
          <w:color w:val="2C5F2D"/>
          <w:sz w:val="28"/>
        </w:rPr>
        <w:t>Annexure A — Sample Sensor Schedule for a Cable-Stayed Bridge</w:t>
      </w:r>
    </w:p>
    <w:p>
      <w:r>
        <w:rPr>
          <w:rFonts w:ascii="Calibri" w:hAnsi="Calibri"/>
          <w:b w:val="0"/>
          <w:i/>
          <w:sz w:val="22"/>
        </w:rPr>
        <w:t>Example: 3-span cable-stayed bridge, main span 250 m, two pylons, 96 stay cables.</w:t>
      </w:r>
    </w:p>
    <w:tbl>
      <w:tblPr>
        <w:tblStyle w:val="TableGrid"/>
        <w:tblW w:type="auto" w:w="0"/>
        <w:jc w:val="center"/>
        <w:tblLook w:firstColumn="1" w:firstRow="1" w:lastColumn="0" w:lastRow="0" w:noHBand="0" w:noVBand="1" w:val="04A0"/>
      </w:tblPr>
      <w:tblGrid>
        <w:gridCol w:w="3024"/>
        <w:gridCol w:w="3024"/>
        <w:gridCol w:w="3024"/>
      </w:tblGrid>
      <w:tr>
        <w:tc>
          <w:tcPr>
            <w:tcW w:type="dxa" w:w="3402"/>
            <w:shd w:fill="1A3C6D"/>
          </w:tcPr>
          <w:p>
            <w:pPr>
              <w:jc w:val="left"/>
            </w:pPr>
            <w:r/>
            <w:r>
              <w:rPr>
                <w:rFonts w:ascii="Calibri" w:hAnsi="Calibri"/>
                <w:b/>
                <w:color w:val="FFFFFF"/>
                <w:sz w:val="18"/>
              </w:rPr>
              <w:t>Sensor Type</w:t>
            </w:r>
          </w:p>
        </w:tc>
        <w:tc>
          <w:tcPr>
            <w:tcW w:type="dxa" w:w="1134"/>
            <w:shd w:fill="1A3C6D"/>
          </w:tcPr>
          <w:p>
            <w:pPr>
              <w:jc w:val="left"/>
            </w:pPr>
            <w:r/>
            <w:r>
              <w:rPr>
                <w:rFonts w:ascii="Calibri" w:hAnsi="Calibri"/>
                <w:b/>
                <w:color w:val="FFFFFF"/>
                <w:sz w:val="18"/>
              </w:rPr>
              <w:t>Quantity</w:t>
            </w:r>
          </w:p>
        </w:tc>
        <w:tc>
          <w:tcPr>
            <w:tcW w:type="dxa" w:w="4252"/>
            <w:shd w:fill="1A3C6D"/>
          </w:tcPr>
          <w:p>
            <w:pPr>
              <w:jc w:val="left"/>
            </w:pPr>
            <w:r/>
            <w:r>
              <w:rPr>
                <w:rFonts w:ascii="Calibri" w:hAnsi="Calibri"/>
                <w:b/>
                <w:color w:val="FFFFFF"/>
                <w:sz w:val="18"/>
              </w:rPr>
              <w:t>Location</w:t>
            </w:r>
          </w:p>
        </w:tc>
      </w:tr>
      <w:tr>
        <w:tc>
          <w:tcPr>
            <w:tcW w:type="dxa" w:w="3402"/>
          </w:tcPr>
          <w:p>
            <w:r/>
            <w:r>
              <w:rPr>
                <w:rFonts w:ascii="Calibri" w:hAnsi="Calibri"/>
                <w:sz w:val="18"/>
              </w:rPr>
              <w:t>Accelerometer (triaxial, force-balance)</w:t>
            </w:r>
          </w:p>
        </w:tc>
        <w:tc>
          <w:tcPr>
            <w:tcW w:type="dxa" w:w="1134"/>
          </w:tcPr>
          <w:p>
            <w:r/>
            <w:r>
              <w:rPr>
                <w:rFonts w:ascii="Calibri" w:hAnsi="Calibri"/>
                <w:sz w:val="18"/>
              </w:rPr>
              <w:t>24</w:t>
            </w:r>
          </w:p>
        </w:tc>
        <w:tc>
          <w:tcPr>
            <w:tcW w:type="dxa" w:w="4252"/>
          </w:tcPr>
          <w:p>
            <w:r/>
            <w:r>
              <w:rPr>
                <w:rFonts w:ascii="Calibri" w:hAnsi="Calibri"/>
                <w:sz w:val="18"/>
              </w:rPr>
              <w:t>Deck at L/8 spacings; pylon top × 2</w:t>
            </w:r>
          </w:p>
        </w:tc>
      </w:tr>
      <w:tr>
        <w:tc>
          <w:tcPr>
            <w:tcW w:type="dxa" w:w="3402"/>
            <w:shd w:fill="F0F3F7"/>
          </w:tcPr>
          <w:p>
            <w:r/>
            <w:r>
              <w:rPr>
                <w:rFonts w:ascii="Calibri" w:hAnsi="Calibri"/>
                <w:sz w:val="18"/>
              </w:rPr>
              <w:t>VW Strain Gauge (embedded)</w:t>
            </w:r>
          </w:p>
        </w:tc>
        <w:tc>
          <w:tcPr>
            <w:tcW w:type="dxa" w:w="1134"/>
            <w:shd w:fill="F0F3F7"/>
          </w:tcPr>
          <w:p>
            <w:r/>
            <w:r>
              <w:rPr>
                <w:rFonts w:ascii="Calibri" w:hAnsi="Calibri"/>
                <w:sz w:val="18"/>
              </w:rPr>
              <w:t>48</w:t>
            </w:r>
          </w:p>
        </w:tc>
        <w:tc>
          <w:tcPr>
            <w:tcW w:type="dxa" w:w="4252"/>
            <w:shd w:fill="F0F3F7"/>
          </w:tcPr>
          <w:p>
            <w:r/>
            <w:r>
              <w:rPr>
                <w:rFonts w:ascii="Calibri" w:hAnsi="Calibri"/>
                <w:sz w:val="18"/>
              </w:rPr>
              <w:t>Deck soffit at L/4, L/2, 3L/4; pylon base</w:t>
            </w:r>
          </w:p>
        </w:tc>
      </w:tr>
      <w:tr>
        <w:tc>
          <w:tcPr>
            <w:tcW w:type="dxa" w:w="3402"/>
          </w:tcPr>
          <w:p>
            <w:r/>
            <w:r>
              <w:rPr>
                <w:rFonts w:ascii="Calibri" w:hAnsi="Calibri"/>
                <w:sz w:val="18"/>
              </w:rPr>
              <w:t>VW Strain Gauge (surface)</w:t>
            </w:r>
          </w:p>
        </w:tc>
        <w:tc>
          <w:tcPr>
            <w:tcW w:type="dxa" w:w="1134"/>
          </w:tcPr>
          <w:p>
            <w:r/>
            <w:r>
              <w:rPr>
                <w:rFonts w:ascii="Calibri" w:hAnsi="Calibri"/>
                <w:sz w:val="18"/>
              </w:rPr>
              <w:t>96</w:t>
            </w:r>
          </w:p>
        </w:tc>
        <w:tc>
          <w:tcPr>
            <w:tcW w:type="dxa" w:w="4252"/>
          </w:tcPr>
          <w:p>
            <w:r/>
            <w:r>
              <w:rPr>
                <w:rFonts w:ascii="Calibri" w:hAnsi="Calibri"/>
                <w:sz w:val="18"/>
              </w:rPr>
              <w:t>Representative stay cables (every 4th cable)</w:t>
            </w:r>
          </w:p>
        </w:tc>
      </w:tr>
      <w:tr>
        <w:tc>
          <w:tcPr>
            <w:tcW w:type="dxa" w:w="3402"/>
            <w:shd w:fill="F0F3F7"/>
          </w:tcPr>
          <w:p>
            <w:r/>
            <w:r>
              <w:rPr>
                <w:rFonts w:ascii="Calibri" w:hAnsi="Calibri"/>
                <w:sz w:val="18"/>
              </w:rPr>
              <w:t>Accelerometer on Cable (uniaxial)</w:t>
            </w:r>
          </w:p>
        </w:tc>
        <w:tc>
          <w:tcPr>
            <w:tcW w:type="dxa" w:w="1134"/>
            <w:shd w:fill="F0F3F7"/>
          </w:tcPr>
          <w:p>
            <w:r/>
            <w:r>
              <w:rPr>
                <w:rFonts w:ascii="Calibri" w:hAnsi="Calibri"/>
                <w:sz w:val="18"/>
              </w:rPr>
              <w:t>24</w:t>
            </w:r>
          </w:p>
        </w:tc>
        <w:tc>
          <w:tcPr>
            <w:tcW w:type="dxa" w:w="4252"/>
            <w:shd w:fill="F0F3F7"/>
          </w:tcPr>
          <w:p>
            <w:r/>
            <w:r>
              <w:rPr>
                <w:rFonts w:ascii="Calibri" w:hAnsi="Calibri"/>
                <w:sz w:val="18"/>
              </w:rPr>
              <w:t>Selected stay cables for tension measurement</w:t>
            </w:r>
          </w:p>
        </w:tc>
      </w:tr>
      <w:tr>
        <w:tc>
          <w:tcPr>
            <w:tcW w:type="dxa" w:w="3402"/>
          </w:tcPr>
          <w:p>
            <w:r/>
            <w:r>
              <w:rPr>
                <w:rFonts w:ascii="Calibri" w:hAnsi="Calibri"/>
                <w:sz w:val="18"/>
              </w:rPr>
              <w:t>Displacement Sensor</w:t>
            </w:r>
          </w:p>
        </w:tc>
        <w:tc>
          <w:tcPr>
            <w:tcW w:type="dxa" w:w="1134"/>
          </w:tcPr>
          <w:p>
            <w:r/>
            <w:r>
              <w:rPr>
                <w:rFonts w:ascii="Calibri" w:hAnsi="Calibri"/>
                <w:sz w:val="18"/>
              </w:rPr>
              <w:t>8</w:t>
            </w:r>
          </w:p>
        </w:tc>
        <w:tc>
          <w:tcPr>
            <w:tcW w:type="dxa" w:w="4252"/>
          </w:tcPr>
          <w:p>
            <w:r/>
            <w:r>
              <w:rPr>
                <w:rFonts w:ascii="Calibri" w:hAnsi="Calibri"/>
                <w:sz w:val="18"/>
              </w:rPr>
              <w:t>Expansion joints × 4; pylon-deck connection</w:t>
            </w:r>
          </w:p>
        </w:tc>
      </w:tr>
      <w:tr>
        <w:tc>
          <w:tcPr>
            <w:tcW w:type="dxa" w:w="3402"/>
            <w:shd w:fill="F0F3F7"/>
          </w:tcPr>
          <w:p>
            <w:r/>
            <w:r>
              <w:rPr>
                <w:rFonts w:ascii="Calibri" w:hAnsi="Calibri"/>
                <w:sz w:val="18"/>
              </w:rPr>
              <w:t>Tilt Meter (biaxial)</w:t>
            </w:r>
          </w:p>
        </w:tc>
        <w:tc>
          <w:tcPr>
            <w:tcW w:type="dxa" w:w="1134"/>
            <w:shd w:fill="F0F3F7"/>
          </w:tcPr>
          <w:p>
            <w:r/>
            <w:r>
              <w:rPr>
                <w:rFonts w:ascii="Calibri" w:hAnsi="Calibri"/>
                <w:sz w:val="18"/>
              </w:rPr>
              <w:t>6</w:t>
            </w:r>
          </w:p>
        </w:tc>
        <w:tc>
          <w:tcPr>
            <w:tcW w:type="dxa" w:w="4252"/>
            <w:shd w:fill="F0F3F7"/>
          </w:tcPr>
          <w:p>
            <w:r/>
            <w:r>
              <w:rPr>
                <w:rFonts w:ascii="Calibri" w:hAnsi="Calibri"/>
                <w:sz w:val="18"/>
              </w:rPr>
              <w:t>Pylon top × 2; pier base × 4</w:t>
            </w:r>
          </w:p>
        </w:tc>
      </w:tr>
      <w:tr>
        <w:tc>
          <w:tcPr>
            <w:tcW w:type="dxa" w:w="3402"/>
          </w:tcPr>
          <w:p>
            <w:r/>
            <w:r>
              <w:rPr>
                <w:rFonts w:ascii="Calibri" w:hAnsi="Calibri"/>
                <w:sz w:val="18"/>
              </w:rPr>
              <w:t>Temperature Sensor (Pt100)</w:t>
            </w:r>
          </w:p>
        </w:tc>
        <w:tc>
          <w:tcPr>
            <w:tcW w:type="dxa" w:w="1134"/>
          </w:tcPr>
          <w:p>
            <w:r/>
            <w:r>
              <w:rPr>
                <w:rFonts w:ascii="Calibri" w:hAnsi="Calibri"/>
                <w:sz w:val="18"/>
              </w:rPr>
              <w:t>36</w:t>
            </w:r>
          </w:p>
        </w:tc>
        <w:tc>
          <w:tcPr>
            <w:tcW w:type="dxa" w:w="4252"/>
          </w:tcPr>
          <w:p>
            <w:r/>
            <w:r>
              <w:rPr>
                <w:rFonts w:ascii="Calibri" w:hAnsi="Calibri"/>
                <w:sz w:val="18"/>
              </w:rPr>
              <w:t>Deck cross-section × 3 locations × 4 depths; ambient</w:t>
            </w:r>
          </w:p>
        </w:tc>
      </w:tr>
      <w:tr>
        <w:tc>
          <w:tcPr>
            <w:tcW w:type="dxa" w:w="3402"/>
            <w:shd w:fill="F0F3F7"/>
          </w:tcPr>
          <w:p>
            <w:r/>
            <w:r>
              <w:rPr>
                <w:rFonts w:ascii="Calibri" w:hAnsi="Calibri"/>
                <w:sz w:val="18"/>
              </w:rPr>
              <w:t>Anemometer (ultrasonic 2D)</w:t>
            </w:r>
          </w:p>
        </w:tc>
        <w:tc>
          <w:tcPr>
            <w:tcW w:type="dxa" w:w="1134"/>
            <w:shd w:fill="F0F3F7"/>
          </w:tcPr>
          <w:p>
            <w:r/>
            <w:r>
              <w:rPr>
                <w:rFonts w:ascii="Calibri" w:hAnsi="Calibri"/>
                <w:sz w:val="18"/>
              </w:rPr>
              <w:t>2</w:t>
            </w:r>
          </w:p>
        </w:tc>
        <w:tc>
          <w:tcPr>
            <w:tcW w:type="dxa" w:w="4252"/>
            <w:shd w:fill="F0F3F7"/>
          </w:tcPr>
          <w:p>
            <w:r/>
            <w:r>
              <w:rPr>
                <w:rFonts w:ascii="Calibri" w:hAnsi="Calibri"/>
                <w:sz w:val="18"/>
              </w:rPr>
              <w:t>Pylon top; deck mid-span</w:t>
            </w:r>
          </w:p>
        </w:tc>
      </w:tr>
      <w:tr>
        <w:tc>
          <w:tcPr>
            <w:tcW w:type="dxa" w:w="3402"/>
          </w:tcPr>
          <w:p>
            <w:r/>
            <w:r>
              <w:rPr>
                <w:rFonts w:ascii="Calibri" w:hAnsi="Calibri"/>
                <w:sz w:val="18"/>
              </w:rPr>
              <w:t>GNSS Rover + Base</w:t>
            </w:r>
          </w:p>
        </w:tc>
        <w:tc>
          <w:tcPr>
            <w:tcW w:type="dxa" w:w="1134"/>
          </w:tcPr>
          <w:p>
            <w:r/>
            <w:r>
              <w:rPr>
                <w:rFonts w:ascii="Calibri" w:hAnsi="Calibri"/>
                <w:sz w:val="18"/>
              </w:rPr>
              <w:t>3 + 1</w:t>
            </w:r>
          </w:p>
        </w:tc>
        <w:tc>
          <w:tcPr>
            <w:tcW w:type="dxa" w:w="4252"/>
          </w:tcPr>
          <w:p>
            <w:r/>
            <w:r>
              <w:rPr>
                <w:rFonts w:ascii="Calibri" w:hAnsi="Calibri"/>
                <w:sz w:val="18"/>
              </w:rPr>
              <w:t>Deck at L/2 and each pylon top; base on stable ground</w:t>
            </w:r>
          </w:p>
        </w:tc>
      </w:tr>
      <w:tr>
        <w:tc>
          <w:tcPr>
            <w:tcW w:type="dxa" w:w="3402"/>
            <w:shd w:fill="F0F3F7"/>
          </w:tcPr>
          <w:p>
            <w:r/>
            <w:r>
              <w:rPr>
                <w:rFonts w:ascii="Calibri" w:hAnsi="Calibri"/>
                <w:sz w:val="18"/>
              </w:rPr>
              <w:t>Corrosion Probe</w:t>
            </w:r>
          </w:p>
        </w:tc>
        <w:tc>
          <w:tcPr>
            <w:tcW w:type="dxa" w:w="1134"/>
            <w:shd w:fill="F0F3F7"/>
          </w:tcPr>
          <w:p>
            <w:r/>
            <w:r>
              <w:rPr>
                <w:rFonts w:ascii="Calibri" w:hAnsi="Calibri"/>
                <w:sz w:val="18"/>
              </w:rPr>
              <w:t>12</w:t>
            </w:r>
          </w:p>
        </w:tc>
        <w:tc>
          <w:tcPr>
            <w:tcW w:type="dxa" w:w="4252"/>
            <w:shd w:fill="F0F3F7"/>
          </w:tcPr>
          <w:p>
            <w:r/>
            <w:r>
              <w:rPr>
                <w:rFonts w:ascii="Calibri" w:hAnsi="Calibri"/>
                <w:sz w:val="18"/>
              </w:rPr>
              <w:t>Pylon base; deck edge zones</w:t>
            </w:r>
          </w:p>
        </w:tc>
      </w:tr>
      <w:tr>
        <w:tc>
          <w:tcPr>
            <w:tcW w:type="dxa" w:w="3402"/>
          </w:tcPr>
          <w:p>
            <w:r/>
            <w:r>
              <w:rPr>
                <w:rFonts w:ascii="Calibri" w:hAnsi="Calibri"/>
                <w:sz w:val="18"/>
              </w:rPr>
              <w:t>Scour Sonar</w:t>
            </w:r>
          </w:p>
        </w:tc>
        <w:tc>
          <w:tcPr>
            <w:tcW w:type="dxa" w:w="1134"/>
          </w:tcPr>
          <w:p>
            <w:r/>
            <w:r>
              <w:rPr>
                <w:rFonts w:ascii="Calibri" w:hAnsi="Calibri"/>
                <w:sz w:val="18"/>
              </w:rPr>
              <w:t>4</w:t>
            </w:r>
          </w:p>
        </w:tc>
        <w:tc>
          <w:tcPr>
            <w:tcW w:type="dxa" w:w="4252"/>
          </w:tcPr>
          <w:p>
            <w:r/>
            <w:r>
              <w:rPr>
                <w:rFonts w:ascii="Calibri" w:hAnsi="Calibri"/>
                <w:sz w:val="18"/>
              </w:rPr>
              <w:t>Each pier in river</w:t>
            </w:r>
          </w:p>
        </w:tc>
      </w:tr>
      <w:tr>
        <w:tc>
          <w:tcPr>
            <w:tcW w:type="dxa" w:w="3402"/>
            <w:shd w:fill="F0F3F7"/>
          </w:tcPr>
          <w:p>
            <w:r/>
            <w:r>
              <w:rPr>
                <w:rFonts w:ascii="Calibri" w:hAnsi="Calibri"/>
                <w:sz w:val="18"/>
              </w:rPr>
              <w:t>Weather Station</w:t>
            </w:r>
          </w:p>
        </w:tc>
        <w:tc>
          <w:tcPr>
            <w:tcW w:type="dxa" w:w="1134"/>
            <w:shd w:fill="F0F3F7"/>
          </w:tcPr>
          <w:p>
            <w:r/>
            <w:r>
              <w:rPr>
                <w:rFonts w:ascii="Calibri" w:hAnsi="Calibri"/>
                <w:sz w:val="18"/>
              </w:rPr>
              <w:t>1</w:t>
            </w:r>
          </w:p>
        </w:tc>
        <w:tc>
          <w:tcPr>
            <w:tcW w:type="dxa" w:w="4252"/>
            <w:shd w:fill="F0F3F7"/>
          </w:tcPr>
          <w:p>
            <w:r/>
            <w:r>
              <w:rPr>
                <w:rFonts w:ascii="Calibri" w:hAnsi="Calibri"/>
                <w:sz w:val="18"/>
              </w:rPr>
              <w:t>Deck level</w:t>
            </w:r>
          </w:p>
        </w:tc>
      </w:tr>
      <w:tr>
        <w:tc>
          <w:tcPr>
            <w:tcW w:type="dxa" w:w="3402"/>
          </w:tcPr>
          <w:p>
            <w:r/>
            <w:r>
              <w:rPr>
                <w:rFonts w:ascii="Calibri" w:hAnsi="Calibri"/>
                <w:sz w:val="18"/>
              </w:rPr>
              <w:t>IP Camera (PTZ)</w:t>
            </w:r>
          </w:p>
        </w:tc>
        <w:tc>
          <w:tcPr>
            <w:tcW w:type="dxa" w:w="1134"/>
          </w:tcPr>
          <w:p>
            <w:r/>
            <w:r>
              <w:rPr>
                <w:rFonts w:ascii="Calibri" w:hAnsi="Calibri"/>
                <w:sz w:val="18"/>
              </w:rPr>
              <w:t>4</w:t>
            </w:r>
          </w:p>
        </w:tc>
        <w:tc>
          <w:tcPr>
            <w:tcW w:type="dxa" w:w="4252"/>
          </w:tcPr>
          <w:p>
            <w:r/>
            <w:r>
              <w:rPr>
                <w:rFonts w:ascii="Calibri" w:hAnsi="Calibri"/>
                <w:sz w:val="18"/>
              </w:rPr>
              <w:t>Approach × 2; deck overview × 2</w:t>
            </w:r>
          </w:p>
        </w:tc>
      </w:tr>
      <w:tr>
        <w:tc>
          <w:tcPr>
            <w:tcW w:type="dxa" w:w="3402"/>
            <w:shd w:fill="F0F3F7"/>
          </w:tcPr>
          <w:p>
            <w:r/>
            <w:r>
              <w:rPr>
                <w:rFonts w:ascii="Calibri" w:hAnsi="Calibri"/>
                <w:sz w:val="18"/>
              </w:rPr>
              <w:t>BWIM System</w:t>
            </w:r>
          </w:p>
        </w:tc>
        <w:tc>
          <w:tcPr>
            <w:tcW w:type="dxa" w:w="1134"/>
            <w:shd w:fill="F0F3F7"/>
          </w:tcPr>
          <w:p>
            <w:r/>
            <w:r>
              <w:rPr>
                <w:rFonts w:ascii="Calibri" w:hAnsi="Calibri"/>
                <w:sz w:val="18"/>
              </w:rPr>
              <w:t>1</w:t>
            </w:r>
          </w:p>
        </w:tc>
        <w:tc>
          <w:tcPr>
            <w:tcW w:type="dxa" w:w="4252"/>
            <w:shd w:fill="F0F3F7"/>
          </w:tcPr>
          <w:p>
            <w:r/>
            <w:r>
              <w:rPr>
                <w:rFonts w:ascii="Calibri" w:hAnsi="Calibri"/>
                <w:sz w:val="18"/>
              </w:rPr>
              <w:t>Approach lane level</w:t>
            </w:r>
          </w:p>
        </w:tc>
      </w:tr>
      <w:tr>
        <w:tc>
          <w:tcPr>
            <w:tcW w:type="dxa" w:w="3402"/>
          </w:tcPr>
          <w:p>
            <w:r/>
            <w:r>
              <w:rPr>
                <w:rFonts w:ascii="Calibri" w:hAnsi="Calibri"/>
                <w:sz w:val="18"/>
              </w:rPr>
              <w:t>Strong-Motion Accelerograph</w:t>
            </w:r>
          </w:p>
        </w:tc>
        <w:tc>
          <w:tcPr>
            <w:tcW w:type="dxa" w:w="1134"/>
          </w:tcPr>
          <w:p>
            <w:r/>
            <w:r>
              <w:rPr>
                <w:rFonts w:ascii="Calibri" w:hAnsi="Calibri"/>
                <w:sz w:val="18"/>
              </w:rPr>
              <w:t>2</w:t>
            </w:r>
          </w:p>
        </w:tc>
        <w:tc>
          <w:tcPr>
            <w:tcW w:type="dxa" w:w="4252"/>
          </w:tcPr>
          <w:p>
            <w:r/>
            <w:r>
              <w:rPr>
                <w:rFonts w:ascii="Calibri" w:hAnsi="Calibri"/>
                <w:sz w:val="18"/>
              </w:rPr>
              <w:t>Pylon base; free-field</w:t>
            </w:r>
          </w:p>
        </w:tc>
      </w:tr>
    </w:tbl>
    <w:p/>
    <w:p>
      <w:pPr>
        <w:pStyle w:val="Heading3"/>
      </w:pPr>
      <w:r>
        <w:rPr>
          <w:rFonts w:ascii="Calibri" w:hAnsi="Calibri"/>
          <w:color w:val="2C5F2D"/>
          <w:sz w:val="28"/>
        </w:rPr>
        <w:t>Annexure B — Abbreviations</w:t>
      </w:r>
    </w:p>
    <w:tbl>
      <w:tblPr>
        <w:tblStyle w:val="TableGrid"/>
        <w:tblW w:type="auto" w:w="0"/>
        <w:jc w:val="center"/>
        <w:tblLook w:firstColumn="1" w:firstRow="1" w:lastColumn="0" w:lastRow="0" w:noHBand="0" w:noVBand="1" w:val="04A0"/>
      </w:tblPr>
      <w:tblGrid>
        <w:gridCol w:w="4536"/>
        <w:gridCol w:w="4536"/>
      </w:tblGrid>
      <w:tr>
        <w:tc>
          <w:tcPr>
            <w:tcW w:type="dxa" w:w="2268"/>
            <w:shd w:fill="1A3C6D"/>
          </w:tcPr>
          <w:p>
            <w:pPr>
              <w:jc w:val="left"/>
            </w:pPr>
            <w:r/>
            <w:r>
              <w:rPr>
                <w:rFonts w:ascii="Calibri" w:hAnsi="Calibri"/>
                <w:b/>
                <w:color w:val="FFFFFF"/>
                <w:sz w:val="18"/>
              </w:rPr>
              <w:t>Abbreviation</w:t>
            </w:r>
          </w:p>
        </w:tc>
        <w:tc>
          <w:tcPr>
            <w:tcW w:type="dxa" w:w="6520"/>
            <w:shd w:fill="1A3C6D"/>
          </w:tcPr>
          <w:p>
            <w:pPr>
              <w:jc w:val="left"/>
            </w:pPr>
            <w:r/>
            <w:r>
              <w:rPr>
                <w:rFonts w:ascii="Calibri" w:hAnsi="Calibri"/>
                <w:b/>
                <w:color w:val="FFFFFF"/>
                <w:sz w:val="18"/>
              </w:rPr>
              <w:t>Full Form</w:t>
            </w:r>
          </w:p>
        </w:tc>
      </w:tr>
      <w:tr>
        <w:tc>
          <w:tcPr>
            <w:tcW w:type="dxa" w:w="2268"/>
          </w:tcPr>
          <w:p>
            <w:r/>
            <w:r>
              <w:rPr>
                <w:rFonts w:ascii="Calibri" w:hAnsi="Calibri"/>
                <w:sz w:val="18"/>
              </w:rPr>
              <w:t>AASHTO</w:t>
            </w:r>
          </w:p>
        </w:tc>
        <w:tc>
          <w:tcPr>
            <w:tcW w:type="dxa" w:w="6520"/>
          </w:tcPr>
          <w:p>
            <w:r/>
            <w:r>
              <w:rPr>
                <w:rFonts w:ascii="Calibri" w:hAnsi="Calibri"/>
                <w:sz w:val="18"/>
              </w:rPr>
              <w:t>American Association of State Highway and Transportation Officials</w:t>
            </w:r>
          </w:p>
        </w:tc>
      </w:tr>
      <w:tr>
        <w:tc>
          <w:tcPr>
            <w:tcW w:type="dxa" w:w="2268"/>
            <w:shd w:fill="F0F3F7"/>
          </w:tcPr>
          <w:p>
            <w:r/>
            <w:r>
              <w:rPr>
                <w:rFonts w:ascii="Calibri" w:hAnsi="Calibri"/>
                <w:sz w:val="18"/>
              </w:rPr>
              <w:t>BIS</w:t>
            </w:r>
          </w:p>
        </w:tc>
        <w:tc>
          <w:tcPr>
            <w:tcW w:type="dxa" w:w="6520"/>
            <w:shd w:fill="F0F3F7"/>
          </w:tcPr>
          <w:p>
            <w:r/>
            <w:r>
              <w:rPr>
                <w:rFonts w:ascii="Calibri" w:hAnsi="Calibri"/>
                <w:sz w:val="18"/>
              </w:rPr>
              <w:t>Bureau of Indian Standards</w:t>
            </w:r>
          </w:p>
        </w:tc>
      </w:tr>
      <w:tr>
        <w:tc>
          <w:tcPr>
            <w:tcW w:type="dxa" w:w="2268"/>
          </w:tcPr>
          <w:p>
            <w:r/>
            <w:r>
              <w:rPr>
                <w:rFonts w:ascii="Calibri" w:hAnsi="Calibri"/>
                <w:sz w:val="18"/>
              </w:rPr>
              <w:t>BMS</w:t>
            </w:r>
          </w:p>
        </w:tc>
        <w:tc>
          <w:tcPr>
            <w:tcW w:type="dxa" w:w="6520"/>
          </w:tcPr>
          <w:p>
            <w:r/>
            <w:r>
              <w:rPr>
                <w:rFonts w:ascii="Calibri" w:hAnsi="Calibri"/>
                <w:sz w:val="18"/>
              </w:rPr>
              <w:t>Bridge Management System</w:t>
            </w:r>
          </w:p>
        </w:tc>
      </w:tr>
      <w:tr>
        <w:tc>
          <w:tcPr>
            <w:tcW w:type="dxa" w:w="2268"/>
            <w:shd w:fill="F0F3F7"/>
          </w:tcPr>
          <w:p>
            <w:r/>
            <w:r>
              <w:rPr>
                <w:rFonts w:ascii="Calibri" w:hAnsi="Calibri"/>
                <w:sz w:val="18"/>
              </w:rPr>
              <w:t>BWIM</w:t>
            </w:r>
          </w:p>
        </w:tc>
        <w:tc>
          <w:tcPr>
            <w:tcW w:type="dxa" w:w="6520"/>
            <w:shd w:fill="F0F3F7"/>
          </w:tcPr>
          <w:p>
            <w:r/>
            <w:r>
              <w:rPr>
                <w:rFonts w:ascii="Calibri" w:hAnsi="Calibri"/>
                <w:sz w:val="18"/>
              </w:rPr>
              <w:t>Bridge Weigh-in-Motion</w:t>
            </w:r>
          </w:p>
        </w:tc>
      </w:tr>
      <w:tr>
        <w:tc>
          <w:tcPr>
            <w:tcW w:type="dxa" w:w="2268"/>
          </w:tcPr>
          <w:p>
            <w:r/>
            <w:r>
              <w:rPr>
                <w:rFonts w:ascii="Calibri" w:hAnsi="Calibri"/>
                <w:sz w:val="18"/>
              </w:rPr>
              <w:t>CCTV</w:t>
            </w:r>
          </w:p>
        </w:tc>
        <w:tc>
          <w:tcPr>
            <w:tcW w:type="dxa" w:w="6520"/>
          </w:tcPr>
          <w:p>
            <w:r/>
            <w:r>
              <w:rPr>
                <w:rFonts w:ascii="Calibri" w:hAnsi="Calibri"/>
                <w:sz w:val="18"/>
              </w:rPr>
              <w:t>Closed-Circuit Television</w:t>
            </w:r>
          </w:p>
        </w:tc>
      </w:tr>
      <w:tr>
        <w:tc>
          <w:tcPr>
            <w:tcW w:type="dxa" w:w="2268"/>
            <w:shd w:fill="F0F3F7"/>
          </w:tcPr>
          <w:p>
            <w:r/>
            <w:r>
              <w:rPr>
                <w:rFonts w:ascii="Calibri" w:hAnsi="Calibri"/>
                <w:sz w:val="18"/>
              </w:rPr>
              <w:t>CBR</w:t>
            </w:r>
          </w:p>
        </w:tc>
        <w:tc>
          <w:tcPr>
            <w:tcW w:type="dxa" w:w="6520"/>
            <w:shd w:fill="F0F3F7"/>
          </w:tcPr>
          <w:p>
            <w:r/>
            <w:r>
              <w:rPr>
                <w:rFonts w:ascii="Calibri" w:hAnsi="Calibri"/>
                <w:sz w:val="18"/>
              </w:rPr>
              <w:t>Condition-Based Rating</w:t>
            </w:r>
          </w:p>
        </w:tc>
      </w:tr>
      <w:tr>
        <w:tc>
          <w:tcPr>
            <w:tcW w:type="dxa" w:w="2268"/>
          </w:tcPr>
          <w:p>
            <w:r/>
            <w:r>
              <w:rPr>
                <w:rFonts w:ascii="Calibri" w:hAnsi="Calibri"/>
                <w:sz w:val="18"/>
              </w:rPr>
              <w:t>DAQ</w:t>
            </w:r>
          </w:p>
        </w:tc>
        <w:tc>
          <w:tcPr>
            <w:tcW w:type="dxa" w:w="6520"/>
          </w:tcPr>
          <w:p>
            <w:r/>
            <w:r>
              <w:rPr>
                <w:rFonts w:ascii="Calibri" w:hAnsi="Calibri"/>
                <w:sz w:val="18"/>
              </w:rPr>
              <w:t>Data Acquisition</w:t>
            </w:r>
          </w:p>
        </w:tc>
      </w:tr>
      <w:tr>
        <w:tc>
          <w:tcPr>
            <w:tcW w:type="dxa" w:w="2268"/>
            <w:shd w:fill="F0F3F7"/>
          </w:tcPr>
          <w:p>
            <w:r/>
            <w:r>
              <w:rPr>
                <w:rFonts w:ascii="Calibri" w:hAnsi="Calibri"/>
                <w:sz w:val="18"/>
              </w:rPr>
              <w:t>FBG</w:t>
            </w:r>
          </w:p>
        </w:tc>
        <w:tc>
          <w:tcPr>
            <w:tcW w:type="dxa" w:w="6520"/>
            <w:shd w:fill="F0F3F7"/>
          </w:tcPr>
          <w:p>
            <w:r/>
            <w:r>
              <w:rPr>
                <w:rFonts w:ascii="Calibri" w:hAnsi="Calibri"/>
                <w:sz w:val="18"/>
              </w:rPr>
              <w:t>Fibre Bragg Grating</w:t>
            </w:r>
          </w:p>
        </w:tc>
      </w:tr>
      <w:tr>
        <w:tc>
          <w:tcPr>
            <w:tcW w:type="dxa" w:w="2268"/>
          </w:tcPr>
          <w:p>
            <w:r/>
            <w:r>
              <w:rPr>
                <w:rFonts w:ascii="Calibri" w:hAnsi="Calibri"/>
                <w:sz w:val="18"/>
              </w:rPr>
              <w:t>FE</w:t>
            </w:r>
          </w:p>
        </w:tc>
        <w:tc>
          <w:tcPr>
            <w:tcW w:type="dxa" w:w="6520"/>
          </w:tcPr>
          <w:p>
            <w:r/>
            <w:r>
              <w:rPr>
                <w:rFonts w:ascii="Calibri" w:hAnsi="Calibri"/>
                <w:sz w:val="18"/>
              </w:rPr>
              <w:t>Finite Element</w:t>
            </w:r>
          </w:p>
        </w:tc>
      </w:tr>
      <w:tr>
        <w:tc>
          <w:tcPr>
            <w:tcW w:type="dxa" w:w="2268"/>
            <w:shd w:fill="F0F3F7"/>
          </w:tcPr>
          <w:p>
            <w:r/>
            <w:r>
              <w:rPr>
                <w:rFonts w:ascii="Calibri" w:hAnsi="Calibri"/>
                <w:sz w:val="18"/>
              </w:rPr>
              <w:t>GNSS</w:t>
            </w:r>
          </w:p>
        </w:tc>
        <w:tc>
          <w:tcPr>
            <w:tcW w:type="dxa" w:w="6520"/>
            <w:shd w:fill="F0F3F7"/>
          </w:tcPr>
          <w:p>
            <w:r/>
            <w:r>
              <w:rPr>
                <w:rFonts w:ascii="Calibri" w:hAnsi="Calibri"/>
                <w:sz w:val="18"/>
              </w:rPr>
              <w:t>Global Navigation Satellite System</w:t>
            </w:r>
          </w:p>
        </w:tc>
      </w:tr>
      <w:tr>
        <w:tc>
          <w:tcPr>
            <w:tcW w:type="dxa" w:w="2268"/>
          </w:tcPr>
          <w:p>
            <w:r/>
            <w:r>
              <w:rPr>
                <w:rFonts w:ascii="Calibri" w:hAnsi="Calibri"/>
                <w:sz w:val="18"/>
              </w:rPr>
              <w:t>IEPE</w:t>
            </w:r>
          </w:p>
        </w:tc>
        <w:tc>
          <w:tcPr>
            <w:tcW w:type="dxa" w:w="6520"/>
          </w:tcPr>
          <w:p>
            <w:r/>
            <w:r>
              <w:rPr>
                <w:rFonts w:ascii="Calibri" w:hAnsi="Calibri"/>
                <w:sz w:val="18"/>
              </w:rPr>
              <w:t>Integrated Electronics Piezo-Electric</w:t>
            </w:r>
          </w:p>
        </w:tc>
      </w:tr>
      <w:tr>
        <w:tc>
          <w:tcPr>
            <w:tcW w:type="dxa" w:w="2268"/>
            <w:shd w:fill="F0F3F7"/>
          </w:tcPr>
          <w:p>
            <w:r/>
            <w:r>
              <w:rPr>
                <w:rFonts w:ascii="Calibri" w:hAnsi="Calibri"/>
                <w:sz w:val="18"/>
              </w:rPr>
              <w:t>IRC</w:t>
            </w:r>
          </w:p>
        </w:tc>
        <w:tc>
          <w:tcPr>
            <w:tcW w:type="dxa" w:w="6520"/>
            <w:shd w:fill="F0F3F7"/>
          </w:tcPr>
          <w:p>
            <w:r/>
            <w:r>
              <w:rPr>
                <w:rFonts w:ascii="Calibri" w:hAnsi="Calibri"/>
                <w:sz w:val="18"/>
              </w:rPr>
              <w:t>Indian Roads Congress</w:t>
            </w:r>
          </w:p>
        </w:tc>
      </w:tr>
      <w:tr>
        <w:tc>
          <w:tcPr>
            <w:tcW w:type="dxa" w:w="2268"/>
          </w:tcPr>
          <w:p>
            <w:r/>
            <w:r>
              <w:rPr>
                <w:rFonts w:ascii="Calibri" w:hAnsi="Calibri"/>
                <w:sz w:val="18"/>
              </w:rPr>
              <w:t>LVDT</w:t>
            </w:r>
          </w:p>
        </w:tc>
        <w:tc>
          <w:tcPr>
            <w:tcW w:type="dxa" w:w="6520"/>
          </w:tcPr>
          <w:p>
            <w:r/>
            <w:r>
              <w:rPr>
                <w:rFonts w:ascii="Calibri" w:hAnsi="Calibri"/>
                <w:sz w:val="18"/>
              </w:rPr>
              <w:t>Linear Variable Differential Transformer</w:t>
            </w:r>
          </w:p>
        </w:tc>
      </w:tr>
      <w:tr>
        <w:tc>
          <w:tcPr>
            <w:tcW w:type="dxa" w:w="2268"/>
            <w:shd w:fill="F0F3F7"/>
          </w:tcPr>
          <w:p>
            <w:r/>
            <w:r>
              <w:rPr>
                <w:rFonts w:ascii="Calibri" w:hAnsi="Calibri"/>
                <w:sz w:val="18"/>
              </w:rPr>
              <w:t>MAC</w:t>
            </w:r>
          </w:p>
        </w:tc>
        <w:tc>
          <w:tcPr>
            <w:tcW w:type="dxa" w:w="6520"/>
            <w:shd w:fill="F0F3F7"/>
          </w:tcPr>
          <w:p>
            <w:r/>
            <w:r>
              <w:rPr>
                <w:rFonts w:ascii="Calibri" w:hAnsi="Calibri"/>
                <w:sz w:val="18"/>
              </w:rPr>
              <w:t>Modal Assurance Criterion</w:t>
            </w:r>
          </w:p>
        </w:tc>
      </w:tr>
      <w:tr>
        <w:tc>
          <w:tcPr>
            <w:tcW w:type="dxa" w:w="2268"/>
          </w:tcPr>
          <w:p>
            <w:r/>
            <w:r>
              <w:rPr>
                <w:rFonts w:ascii="Calibri" w:hAnsi="Calibri"/>
                <w:sz w:val="18"/>
              </w:rPr>
              <w:t>MEMS</w:t>
            </w:r>
          </w:p>
        </w:tc>
        <w:tc>
          <w:tcPr>
            <w:tcW w:type="dxa" w:w="6520"/>
          </w:tcPr>
          <w:p>
            <w:r/>
            <w:r>
              <w:rPr>
                <w:rFonts w:ascii="Calibri" w:hAnsi="Calibri"/>
                <w:sz w:val="18"/>
              </w:rPr>
              <w:t>Micro-Electro-Mechanical Systems</w:t>
            </w:r>
          </w:p>
        </w:tc>
      </w:tr>
      <w:tr>
        <w:tc>
          <w:tcPr>
            <w:tcW w:type="dxa" w:w="2268"/>
            <w:shd w:fill="F0F3F7"/>
          </w:tcPr>
          <w:p>
            <w:r/>
            <w:r>
              <w:rPr>
                <w:rFonts w:ascii="Calibri" w:hAnsi="Calibri"/>
                <w:sz w:val="18"/>
              </w:rPr>
              <w:t>MORTH</w:t>
            </w:r>
          </w:p>
        </w:tc>
        <w:tc>
          <w:tcPr>
            <w:tcW w:type="dxa" w:w="6520"/>
            <w:shd w:fill="F0F3F7"/>
          </w:tcPr>
          <w:p>
            <w:r/>
            <w:r>
              <w:rPr>
                <w:rFonts w:ascii="Calibri" w:hAnsi="Calibri"/>
                <w:sz w:val="18"/>
              </w:rPr>
              <w:t>Ministry of Road Transport &amp; Highways</w:t>
            </w:r>
          </w:p>
        </w:tc>
      </w:tr>
      <w:tr>
        <w:tc>
          <w:tcPr>
            <w:tcW w:type="dxa" w:w="2268"/>
          </w:tcPr>
          <w:p>
            <w:r/>
            <w:r>
              <w:rPr>
                <w:rFonts w:ascii="Calibri" w:hAnsi="Calibri"/>
                <w:sz w:val="18"/>
              </w:rPr>
              <w:t>MTBF</w:t>
            </w:r>
          </w:p>
        </w:tc>
        <w:tc>
          <w:tcPr>
            <w:tcW w:type="dxa" w:w="6520"/>
          </w:tcPr>
          <w:p>
            <w:r/>
            <w:r>
              <w:rPr>
                <w:rFonts w:ascii="Calibri" w:hAnsi="Calibri"/>
                <w:sz w:val="18"/>
              </w:rPr>
              <w:t>Mean Time Between Failures</w:t>
            </w:r>
          </w:p>
        </w:tc>
      </w:tr>
      <w:tr>
        <w:tc>
          <w:tcPr>
            <w:tcW w:type="dxa" w:w="2268"/>
            <w:shd w:fill="F0F3F7"/>
          </w:tcPr>
          <w:p>
            <w:r/>
            <w:r>
              <w:rPr>
                <w:rFonts w:ascii="Calibri" w:hAnsi="Calibri"/>
                <w:sz w:val="18"/>
              </w:rPr>
              <w:t>NABL</w:t>
            </w:r>
          </w:p>
        </w:tc>
        <w:tc>
          <w:tcPr>
            <w:tcW w:type="dxa" w:w="6520"/>
            <w:shd w:fill="F0F3F7"/>
          </w:tcPr>
          <w:p>
            <w:r/>
            <w:r>
              <w:rPr>
                <w:rFonts w:ascii="Calibri" w:hAnsi="Calibri"/>
                <w:sz w:val="18"/>
              </w:rPr>
              <w:t>National Accreditation Board for Testing and Calibration Laboratories</w:t>
            </w:r>
          </w:p>
        </w:tc>
      </w:tr>
      <w:tr>
        <w:tc>
          <w:tcPr>
            <w:tcW w:type="dxa" w:w="2268"/>
          </w:tcPr>
          <w:p>
            <w:r/>
            <w:r>
              <w:rPr>
                <w:rFonts w:ascii="Calibri" w:hAnsi="Calibri"/>
                <w:sz w:val="18"/>
              </w:rPr>
              <w:t>NHAI</w:t>
            </w:r>
          </w:p>
        </w:tc>
        <w:tc>
          <w:tcPr>
            <w:tcW w:type="dxa" w:w="6520"/>
          </w:tcPr>
          <w:p>
            <w:r/>
            <w:r>
              <w:rPr>
                <w:rFonts w:ascii="Calibri" w:hAnsi="Calibri"/>
                <w:sz w:val="18"/>
              </w:rPr>
              <w:t>National Highways Authority of India</w:t>
            </w:r>
          </w:p>
        </w:tc>
      </w:tr>
      <w:tr>
        <w:tc>
          <w:tcPr>
            <w:tcW w:type="dxa" w:w="2268"/>
            <w:shd w:fill="F0F3F7"/>
          </w:tcPr>
          <w:p>
            <w:r/>
            <w:r>
              <w:rPr>
                <w:rFonts w:ascii="Calibri" w:hAnsi="Calibri"/>
                <w:sz w:val="18"/>
              </w:rPr>
              <w:t>OMA</w:t>
            </w:r>
          </w:p>
        </w:tc>
        <w:tc>
          <w:tcPr>
            <w:tcW w:type="dxa" w:w="6520"/>
            <w:shd w:fill="F0F3F7"/>
          </w:tcPr>
          <w:p>
            <w:r/>
            <w:r>
              <w:rPr>
                <w:rFonts w:ascii="Calibri" w:hAnsi="Calibri"/>
                <w:sz w:val="18"/>
              </w:rPr>
              <w:t>Operational Modal Analysis</w:t>
            </w:r>
          </w:p>
        </w:tc>
      </w:tr>
      <w:tr>
        <w:tc>
          <w:tcPr>
            <w:tcW w:type="dxa" w:w="2268"/>
          </w:tcPr>
          <w:p>
            <w:r/>
            <w:r>
              <w:rPr>
                <w:rFonts w:ascii="Calibri" w:hAnsi="Calibri"/>
                <w:sz w:val="18"/>
              </w:rPr>
              <w:t>PSC</w:t>
            </w:r>
          </w:p>
        </w:tc>
        <w:tc>
          <w:tcPr>
            <w:tcW w:type="dxa" w:w="6520"/>
          </w:tcPr>
          <w:p>
            <w:r/>
            <w:r>
              <w:rPr>
                <w:rFonts w:ascii="Calibri" w:hAnsi="Calibri"/>
                <w:sz w:val="18"/>
              </w:rPr>
              <w:t>Prestressed Concrete</w:t>
            </w:r>
          </w:p>
        </w:tc>
      </w:tr>
      <w:tr>
        <w:tc>
          <w:tcPr>
            <w:tcW w:type="dxa" w:w="2268"/>
            <w:shd w:fill="F0F3F7"/>
          </w:tcPr>
          <w:p>
            <w:r/>
            <w:r>
              <w:rPr>
                <w:rFonts w:ascii="Calibri" w:hAnsi="Calibri"/>
                <w:sz w:val="18"/>
              </w:rPr>
              <w:t>RCC</w:t>
            </w:r>
          </w:p>
        </w:tc>
        <w:tc>
          <w:tcPr>
            <w:tcW w:type="dxa" w:w="6520"/>
            <w:shd w:fill="F0F3F7"/>
          </w:tcPr>
          <w:p>
            <w:r/>
            <w:r>
              <w:rPr>
                <w:rFonts w:ascii="Calibri" w:hAnsi="Calibri"/>
                <w:sz w:val="18"/>
              </w:rPr>
              <w:t>Reinforced Cement Concrete</w:t>
            </w:r>
          </w:p>
        </w:tc>
      </w:tr>
      <w:tr>
        <w:tc>
          <w:tcPr>
            <w:tcW w:type="dxa" w:w="2268"/>
          </w:tcPr>
          <w:p>
            <w:r/>
            <w:r>
              <w:rPr>
                <w:rFonts w:ascii="Calibri" w:hAnsi="Calibri"/>
                <w:sz w:val="18"/>
              </w:rPr>
              <w:t>SHM</w:t>
            </w:r>
          </w:p>
        </w:tc>
        <w:tc>
          <w:tcPr>
            <w:tcW w:type="dxa" w:w="6520"/>
          </w:tcPr>
          <w:p>
            <w:r/>
            <w:r>
              <w:rPr>
                <w:rFonts w:ascii="Calibri" w:hAnsi="Calibri"/>
                <w:sz w:val="18"/>
              </w:rPr>
              <w:t>Structural Health Monitoring</w:t>
            </w:r>
          </w:p>
        </w:tc>
      </w:tr>
      <w:tr>
        <w:tc>
          <w:tcPr>
            <w:tcW w:type="dxa" w:w="2268"/>
            <w:shd w:fill="F0F3F7"/>
          </w:tcPr>
          <w:p>
            <w:r/>
            <w:r>
              <w:rPr>
                <w:rFonts w:ascii="Calibri" w:hAnsi="Calibri"/>
                <w:sz w:val="18"/>
              </w:rPr>
              <w:t>SPD</w:t>
            </w:r>
          </w:p>
        </w:tc>
        <w:tc>
          <w:tcPr>
            <w:tcW w:type="dxa" w:w="6520"/>
            <w:shd w:fill="F0F3F7"/>
          </w:tcPr>
          <w:p>
            <w:r/>
            <w:r>
              <w:rPr>
                <w:rFonts w:ascii="Calibri" w:hAnsi="Calibri"/>
                <w:sz w:val="18"/>
              </w:rPr>
              <w:t>Surge Protection Device</w:t>
            </w:r>
          </w:p>
        </w:tc>
      </w:tr>
      <w:tr>
        <w:tc>
          <w:tcPr>
            <w:tcW w:type="dxa" w:w="2268"/>
          </w:tcPr>
          <w:p>
            <w:r/>
            <w:r>
              <w:rPr>
                <w:rFonts w:ascii="Calibri" w:hAnsi="Calibri"/>
                <w:sz w:val="18"/>
              </w:rPr>
              <w:t>VW</w:t>
            </w:r>
          </w:p>
        </w:tc>
        <w:tc>
          <w:tcPr>
            <w:tcW w:type="dxa" w:w="6520"/>
          </w:tcPr>
          <w:p>
            <w:r/>
            <w:r>
              <w:rPr>
                <w:rFonts w:ascii="Calibri" w:hAnsi="Calibri"/>
                <w:sz w:val="18"/>
              </w:rPr>
              <w:t>Vibrating Wire</w:t>
            </w:r>
          </w:p>
        </w:tc>
      </w:tr>
      <w:tr>
        <w:tc>
          <w:tcPr>
            <w:tcW w:type="dxa" w:w="2268"/>
            <w:shd w:fill="F0F3F7"/>
          </w:tcPr>
          <w:p>
            <w:r/>
            <w:r>
              <w:rPr>
                <w:rFonts w:ascii="Calibri" w:hAnsi="Calibri"/>
                <w:sz w:val="18"/>
              </w:rPr>
              <w:t>WIM</w:t>
            </w:r>
          </w:p>
        </w:tc>
        <w:tc>
          <w:tcPr>
            <w:tcW w:type="dxa" w:w="6520"/>
            <w:shd w:fill="F0F3F7"/>
          </w:tcPr>
          <w:p>
            <w:r/>
            <w:r>
              <w:rPr>
                <w:rFonts w:ascii="Calibri" w:hAnsi="Calibri"/>
                <w:sz w:val="18"/>
              </w:rPr>
              <w:t>Weigh-in-Motion</w:t>
            </w:r>
          </w:p>
        </w:tc>
      </w:tr>
    </w:tbl>
    <w:p/>
    <w:p/>
    <w:p>
      <w:r>
        <w:rPr>
          <w:i/>
          <w:color w:val="555555"/>
          <w:sz w:val="18"/>
        </w:rPr>
        <w:t>TS-SHM-HB / 2026 / Rev-A — Structural Health Monitoring of Highway Bridges (India)</w:t>
      </w:r>
    </w:p>
    <w:p>
      <w:r>
        <w:rPr>
          <w:i/>
          <w:color w:val="555555"/>
          <w:sz w:val="18"/>
        </w:rPr>
        <w:t>This document is advisory in nature and shall be read in conjunction with applicable IRC, MORTH, and NHAI circulars.</w:t>
      </w:r>
    </w:p>
    <w:p>
      <w:pPr>
        <w:jc w:val="center"/>
      </w:pPr>
      <w:r>
        <w:rPr>
          <w:rFonts w:ascii="Calibri" w:hAnsi="Calibri"/>
          <w:color w:val="3B82F6"/>
          <w:sz w:val="18"/>
          <w:u w:val="single"/>
        </w:rPr>
        <w:t>Built with NebulaCloud Studio</w:t>
      </w:r>
    </w:p>
    <w:sectPr w:rsidR="00FC693F" w:rsidRPr="0006063C" w:rsidSect="00034616">
      <w:pgSz w:w="11906" w:h="16838"/>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